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rPr>
          <w:rFonts w:hint="eastAsia" w:ascii="黑体" w:hAnsi="黑体" w:eastAsia="黑体" w:cs="黑体"/>
          <w:sz w:val="52"/>
          <w:szCs w:val="52"/>
        </w:rPr>
      </w:pPr>
      <w:r>
        <w:rPr>
          <w:rFonts w:hint="eastAsia" w:ascii="黑体" w:hAnsi="黑体" w:eastAsia="黑体" w:cs="黑体"/>
          <w:sz w:val="52"/>
          <w:szCs w:val="52"/>
        </w:rPr>
        <w:t>20</w:t>
      </w:r>
      <w:r>
        <w:rPr>
          <w:rFonts w:hint="eastAsia" w:ascii="黑体" w:hAnsi="黑体" w:eastAsia="黑体" w:cs="黑体"/>
          <w:sz w:val="52"/>
          <w:szCs w:val="52"/>
          <w:lang w:val="en-US" w:eastAsia="zh-CN"/>
        </w:rPr>
        <w:t>20</w:t>
      </w:r>
      <w:r>
        <w:rPr>
          <w:rFonts w:hint="eastAsia" w:ascii="黑体" w:hAnsi="黑体" w:eastAsia="黑体" w:cs="黑体"/>
          <w:sz w:val="52"/>
          <w:szCs w:val="52"/>
        </w:rPr>
        <w:t>年度</w:t>
      </w:r>
    </w:p>
    <w:p>
      <w:pPr>
        <w:jc w:val="center"/>
        <w:rPr>
          <w:rFonts w:hint="eastAsia" w:ascii="黑体" w:hAnsi="黑体" w:eastAsia="黑体" w:cs="黑体"/>
          <w:sz w:val="52"/>
          <w:szCs w:val="52"/>
        </w:rPr>
      </w:pPr>
      <w:r>
        <w:rPr>
          <w:rFonts w:hint="eastAsia" w:ascii="黑体" w:hAnsi="黑体" w:eastAsia="黑体" w:cs="黑体"/>
          <w:sz w:val="52"/>
          <w:szCs w:val="52"/>
          <w:lang w:eastAsia="zh-CN"/>
        </w:rPr>
        <w:t>濮阳市科学技术协会</w:t>
      </w:r>
      <w:r>
        <w:rPr>
          <w:rFonts w:hint="eastAsia" w:ascii="黑体" w:hAnsi="黑体" w:eastAsia="黑体" w:cs="黑体"/>
          <w:sz w:val="52"/>
          <w:szCs w:val="52"/>
        </w:rPr>
        <w:t>部门决算</w:t>
      </w: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32"/>
          <w:szCs w:val="32"/>
        </w:rPr>
        <w:sectPr>
          <w:pgSz w:w="11906" w:h="16838"/>
          <w:pgMar w:top="1440" w:right="1531" w:bottom="1440" w:left="1587" w:header="850" w:footer="992" w:gutter="0"/>
          <w:pgNumType w:fmt="numberInDash"/>
          <w:cols w:space="720" w:num="1"/>
          <w:docGrid w:type="lines" w:linePitch="317" w:charSpace="0"/>
        </w:sectPr>
      </w:pPr>
      <w:r>
        <w:rPr>
          <w:rFonts w:hint="eastAsia" w:ascii="黑体" w:hAnsi="黑体" w:eastAsia="黑体" w:cs="黑体"/>
          <w:sz w:val="32"/>
          <w:szCs w:val="32"/>
        </w:rPr>
        <w:t>二〇二</w:t>
      </w:r>
      <w:r>
        <w:rPr>
          <w:rFonts w:hint="eastAsia" w:ascii="黑体" w:hAnsi="黑体" w:eastAsia="黑体" w:cs="黑体"/>
          <w:sz w:val="32"/>
          <w:szCs w:val="32"/>
          <w:lang w:eastAsia="zh-CN"/>
        </w:rPr>
        <w:t>一</w:t>
      </w:r>
      <w:r>
        <w:rPr>
          <w:rFonts w:hint="eastAsia" w:ascii="黑体" w:hAnsi="黑体" w:eastAsia="黑体" w:cs="黑体"/>
          <w:sz w:val="32"/>
          <w:szCs w:val="32"/>
        </w:rPr>
        <w:t>年</w:t>
      </w:r>
      <w:r>
        <w:rPr>
          <w:rFonts w:hint="eastAsia" w:ascii="黑体" w:hAnsi="黑体" w:eastAsia="黑体" w:cs="黑体"/>
          <w:sz w:val="32"/>
          <w:szCs w:val="32"/>
          <w:highlight w:val="none"/>
        </w:rPr>
        <w:t>九月</w:t>
      </w:r>
    </w:p>
    <w:p>
      <w:pPr>
        <w:jc w:val="center"/>
        <w:rPr>
          <w:rFonts w:ascii="黑体" w:hAnsi="黑体" w:eastAsia="黑体" w:cs="黑体"/>
          <w:sz w:val="36"/>
          <w:szCs w:val="36"/>
        </w:rPr>
      </w:pPr>
      <w:r>
        <w:rPr>
          <w:rFonts w:hint="eastAsia" w:ascii="黑体" w:hAnsi="黑体" w:eastAsia="黑体" w:cs="黑体"/>
          <w:sz w:val="36"/>
          <w:szCs w:val="36"/>
        </w:rPr>
        <w:t>目　　录</w:t>
      </w:r>
    </w:p>
    <w:p>
      <w:pPr>
        <w:jc w:val="left"/>
        <w:rPr>
          <w:rFonts w:ascii="黑体" w:hAnsi="黑体" w:eastAsia="黑体" w:cs="黑体"/>
          <w:sz w:val="32"/>
          <w:szCs w:val="32"/>
        </w:rPr>
      </w:pPr>
      <w:r>
        <w:rPr>
          <w:rFonts w:hint="eastAsia" w:ascii="黑体" w:hAnsi="黑体" w:eastAsia="黑体" w:cs="黑体"/>
          <w:sz w:val="32"/>
          <w:szCs w:val="32"/>
        </w:rPr>
        <w:t>第一部分　</w:t>
      </w:r>
      <w:r>
        <w:rPr>
          <w:rFonts w:hint="eastAsia" w:ascii="黑体" w:hAnsi="黑体" w:eastAsia="黑体" w:cs="黑体"/>
          <w:sz w:val="32"/>
          <w:szCs w:val="32"/>
          <w:lang w:eastAsia="zh-CN"/>
        </w:rPr>
        <w:t>濮阳市科学技术协会</w:t>
      </w:r>
      <w:r>
        <w:rPr>
          <w:rFonts w:hint="eastAsia" w:ascii="黑体" w:hAnsi="黑体" w:eastAsia="黑体" w:cs="黑体"/>
          <w:sz w:val="32"/>
          <w:szCs w:val="32"/>
        </w:rPr>
        <w:t>概况</w:t>
      </w:r>
    </w:p>
    <w:p>
      <w:pPr>
        <w:numPr>
          <w:ilvl w:val="0"/>
          <w:numId w:val="1"/>
        </w:numPr>
        <w:ind w:firstLine="640" w:firstLineChars="200"/>
        <w:jc w:val="left"/>
        <w:rPr>
          <w:rFonts w:ascii="宋体" w:hAnsi="宋体" w:cs="宋体"/>
          <w:sz w:val="32"/>
          <w:szCs w:val="32"/>
        </w:rPr>
      </w:pPr>
      <w:r>
        <w:rPr>
          <w:rFonts w:hint="eastAsia" w:ascii="宋体" w:hAnsi="宋体" w:cs="宋体"/>
          <w:sz w:val="32"/>
          <w:szCs w:val="32"/>
        </w:rPr>
        <w:t>部门职责</w:t>
      </w:r>
    </w:p>
    <w:p>
      <w:pPr>
        <w:numPr>
          <w:ilvl w:val="0"/>
          <w:numId w:val="1"/>
        </w:numPr>
        <w:ind w:firstLine="640" w:firstLineChars="200"/>
        <w:jc w:val="left"/>
        <w:rPr>
          <w:rFonts w:ascii="宋体" w:hAnsi="宋体" w:cs="宋体"/>
          <w:sz w:val="32"/>
          <w:szCs w:val="32"/>
        </w:rPr>
      </w:pPr>
      <w:r>
        <w:rPr>
          <w:rFonts w:hint="eastAsia" w:ascii="宋体" w:hAnsi="宋体" w:cs="宋体"/>
          <w:sz w:val="32"/>
          <w:szCs w:val="32"/>
        </w:rPr>
        <w:t>机构设置</w:t>
      </w:r>
    </w:p>
    <w:p>
      <w:pPr>
        <w:jc w:val="left"/>
        <w:rPr>
          <w:rFonts w:ascii="黑体" w:hAnsi="黑体" w:eastAsia="黑体" w:cs="黑体"/>
          <w:sz w:val="32"/>
          <w:szCs w:val="32"/>
        </w:rPr>
      </w:pPr>
      <w:r>
        <w:rPr>
          <w:rFonts w:hint="eastAsia" w:ascii="黑体" w:hAnsi="黑体" w:eastAsia="黑体" w:cs="黑体"/>
          <w:sz w:val="32"/>
          <w:szCs w:val="32"/>
        </w:rPr>
        <w:t>第二部分　　20</w:t>
      </w:r>
      <w:r>
        <w:rPr>
          <w:rFonts w:hint="eastAsia" w:ascii="黑体" w:hAnsi="黑体" w:eastAsia="黑体" w:cs="黑体"/>
          <w:sz w:val="32"/>
          <w:szCs w:val="32"/>
          <w:lang w:val="en-US" w:eastAsia="zh-CN"/>
        </w:rPr>
        <w:t>20</w:t>
      </w:r>
      <w:r>
        <w:rPr>
          <w:rFonts w:hint="eastAsia" w:ascii="黑体" w:hAnsi="黑体" w:eastAsia="黑体" w:cs="黑体"/>
          <w:sz w:val="32"/>
          <w:szCs w:val="32"/>
        </w:rPr>
        <w:t>年度部门决算表</w:t>
      </w:r>
    </w:p>
    <w:p>
      <w:pPr>
        <w:ind w:firstLine="640" w:firstLineChars="200"/>
        <w:jc w:val="left"/>
        <w:rPr>
          <w:rFonts w:ascii="宋体" w:hAnsi="宋体" w:cs="宋体"/>
          <w:sz w:val="32"/>
          <w:szCs w:val="32"/>
        </w:rPr>
      </w:pPr>
      <w:r>
        <w:rPr>
          <w:rFonts w:hint="eastAsia" w:ascii="宋体" w:hAnsi="宋体" w:cs="宋体"/>
          <w:sz w:val="32"/>
          <w:szCs w:val="32"/>
        </w:rPr>
        <w:t>一、收入支出决算总表</w:t>
      </w:r>
    </w:p>
    <w:p>
      <w:pPr>
        <w:ind w:firstLine="640" w:firstLineChars="200"/>
        <w:jc w:val="left"/>
        <w:rPr>
          <w:rFonts w:ascii="宋体" w:hAnsi="宋体" w:cs="宋体"/>
          <w:sz w:val="32"/>
          <w:szCs w:val="32"/>
        </w:rPr>
      </w:pPr>
      <w:r>
        <w:rPr>
          <w:rFonts w:hint="eastAsia" w:ascii="宋体" w:hAnsi="宋体" w:cs="宋体"/>
          <w:sz w:val="32"/>
          <w:szCs w:val="32"/>
        </w:rPr>
        <w:t>二、收入决算表</w:t>
      </w:r>
    </w:p>
    <w:p>
      <w:pPr>
        <w:ind w:firstLine="640" w:firstLineChars="200"/>
        <w:jc w:val="left"/>
        <w:rPr>
          <w:rFonts w:hint="eastAsia" w:ascii="宋体" w:hAnsi="宋体" w:cs="宋体"/>
          <w:sz w:val="32"/>
          <w:szCs w:val="32"/>
        </w:rPr>
      </w:pPr>
      <w:r>
        <w:rPr>
          <w:rFonts w:hint="eastAsia" w:ascii="宋体" w:hAnsi="宋体" w:cs="宋体"/>
          <w:sz w:val="32"/>
          <w:szCs w:val="32"/>
        </w:rPr>
        <w:t>三、支出决算表</w:t>
      </w:r>
    </w:p>
    <w:p>
      <w:pPr>
        <w:ind w:firstLine="640" w:firstLineChars="200"/>
        <w:jc w:val="left"/>
        <w:rPr>
          <w:rFonts w:hint="eastAsia" w:ascii="宋体" w:hAnsi="宋体" w:cs="宋体"/>
          <w:sz w:val="32"/>
          <w:szCs w:val="32"/>
        </w:rPr>
      </w:pPr>
      <w:r>
        <w:rPr>
          <w:rFonts w:hint="eastAsia" w:ascii="宋体" w:hAnsi="宋体" w:cs="宋体"/>
          <w:sz w:val="32"/>
          <w:szCs w:val="32"/>
        </w:rPr>
        <w:t>四、财政拨款收入支出决算总表</w:t>
      </w:r>
    </w:p>
    <w:p>
      <w:pPr>
        <w:ind w:firstLine="640" w:firstLineChars="200"/>
        <w:jc w:val="left"/>
        <w:rPr>
          <w:rFonts w:hint="eastAsia" w:ascii="宋体" w:hAnsi="宋体" w:cs="宋体"/>
          <w:sz w:val="32"/>
          <w:szCs w:val="32"/>
        </w:rPr>
      </w:pPr>
      <w:r>
        <w:rPr>
          <w:rFonts w:hint="eastAsia" w:ascii="宋体" w:hAnsi="宋体" w:cs="宋体"/>
          <w:sz w:val="32"/>
          <w:szCs w:val="32"/>
        </w:rPr>
        <w:t>五、一般公共预算财政拨款支出决算表</w:t>
      </w:r>
    </w:p>
    <w:p>
      <w:pPr>
        <w:ind w:firstLine="640" w:firstLineChars="200"/>
        <w:jc w:val="left"/>
        <w:rPr>
          <w:rFonts w:hint="eastAsia" w:ascii="宋体" w:hAnsi="宋体" w:cs="宋体"/>
          <w:sz w:val="32"/>
          <w:szCs w:val="32"/>
        </w:rPr>
      </w:pPr>
      <w:r>
        <w:rPr>
          <w:rFonts w:hint="eastAsia" w:ascii="宋体" w:hAnsi="宋体" w:cs="宋体"/>
          <w:sz w:val="32"/>
          <w:szCs w:val="32"/>
        </w:rPr>
        <w:t>六、一般公共预算财政拨款基本支出决算表</w:t>
      </w:r>
    </w:p>
    <w:p>
      <w:pPr>
        <w:ind w:firstLine="640" w:firstLineChars="200"/>
        <w:jc w:val="left"/>
        <w:rPr>
          <w:rFonts w:hint="eastAsia" w:ascii="宋体" w:hAnsi="宋体" w:cs="宋体"/>
          <w:sz w:val="32"/>
          <w:szCs w:val="32"/>
        </w:rPr>
      </w:pPr>
      <w:r>
        <w:rPr>
          <w:rFonts w:hint="eastAsia" w:ascii="宋体" w:hAnsi="宋体" w:cs="宋体"/>
          <w:sz w:val="32"/>
          <w:szCs w:val="32"/>
        </w:rPr>
        <w:t>七、一般公共预算财政拨款“三公”经费支出决算表</w:t>
      </w:r>
    </w:p>
    <w:p>
      <w:pPr>
        <w:ind w:firstLine="640" w:firstLineChars="200"/>
        <w:jc w:val="left"/>
        <w:rPr>
          <w:rFonts w:hint="eastAsia" w:ascii="宋体" w:hAnsi="宋体" w:cs="宋体"/>
          <w:sz w:val="32"/>
          <w:szCs w:val="32"/>
        </w:rPr>
      </w:pPr>
      <w:r>
        <w:rPr>
          <w:rFonts w:hint="eastAsia" w:ascii="宋体" w:hAnsi="宋体" w:cs="宋体"/>
          <w:sz w:val="32"/>
          <w:szCs w:val="32"/>
        </w:rPr>
        <w:t>八、政府性基金预算财政拨款收入支出决算表</w:t>
      </w:r>
    </w:p>
    <w:p>
      <w:pPr>
        <w:jc w:val="left"/>
        <w:rPr>
          <w:rFonts w:hint="eastAsia" w:ascii="黑体" w:hAnsi="黑体" w:eastAsia="黑体" w:cs="黑体"/>
          <w:sz w:val="32"/>
          <w:szCs w:val="32"/>
        </w:rPr>
      </w:pPr>
      <w:r>
        <w:rPr>
          <w:rFonts w:hint="eastAsia" w:ascii="黑体" w:hAnsi="黑体" w:eastAsia="黑体" w:cs="黑体"/>
          <w:sz w:val="32"/>
          <w:szCs w:val="32"/>
        </w:rPr>
        <w:t>第三部分　　20</w:t>
      </w:r>
      <w:r>
        <w:rPr>
          <w:rFonts w:hint="eastAsia" w:ascii="黑体" w:hAnsi="黑体" w:eastAsia="黑体" w:cs="黑体"/>
          <w:sz w:val="32"/>
          <w:szCs w:val="32"/>
          <w:lang w:val="en-US" w:eastAsia="zh-CN"/>
        </w:rPr>
        <w:t>20</w:t>
      </w:r>
      <w:r>
        <w:rPr>
          <w:rFonts w:hint="eastAsia" w:ascii="黑体" w:hAnsi="黑体" w:eastAsia="黑体" w:cs="黑体"/>
          <w:sz w:val="32"/>
          <w:szCs w:val="32"/>
        </w:rPr>
        <w:t>年度部门决算情况说明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一、收入支出决算总体情况说明</w:t>
      </w:r>
    </w:p>
    <w:p>
      <w:pPr>
        <w:ind w:firstLine="640" w:firstLineChars="200"/>
        <w:jc w:val="left"/>
        <w:rPr>
          <w:rFonts w:hint="eastAsia" w:ascii="宋体" w:hAnsi="宋体" w:cs="宋体"/>
          <w:sz w:val="32"/>
          <w:szCs w:val="32"/>
        </w:rPr>
      </w:pPr>
      <w:r>
        <w:rPr>
          <w:rFonts w:hint="eastAsia" w:ascii="宋体" w:hAnsi="宋体" w:cs="宋体"/>
          <w:sz w:val="32"/>
          <w:szCs w:val="32"/>
        </w:rPr>
        <w:t>二、收入决算情况说明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三、支出决算情况说明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四、财政拨款收入支出决算总体情况说明</w:t>
      </w:r>
    </w:p>
    <w:p>
      <w:pPr>
        <w:ind w:firstLine="640" w:firstLineChars="200"/>
        <w:jc w:val="left"/>
        <w:rPr>
          <w:rFonts w:hint="eastAsia" w:ascii="宋体" w:hAnsi="宋体" w:cs="宋体"/>
          <w:sz w:val="32"/>
          <w:szCs w:val="32"/>
        </w:rPr>
      </w:pPr>
      <w:r>
        <w:rPr>
          <w:rFonts w:hint="eastAsia" w:ascii="宋体" w:hAnsi="宋体" w:cs="宋体"/>
          <w:sz w:val="32"/>
          <w:szCs w:val="32"/>
        </w:rPr>
        <w:t>五、一般公共预算财政拨款支出决算情况说明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六、一般公共预算财政拨款基本支出决算情况说明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七、一般公共预算财政拨款“三公”经费支出决算情况说明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八、预算绩效情况说明</w:t>
      </w:r>
    </w:p>
    <w:p>
      <w:pPr>
        <w:ind w:firstLine="640" w:firstLineChars="200"/>
        <w:jc w:val="left"/>
        <w:rPr>
          <w:rFonts w:hint="eastAsia" w:ascii="宋体" w:hAnsi="宋体" w:cs="宋体"/>
          <w:sz w:val="32"/>
          <w:szCs w:val="32"/>
        </w:rPr>
      </w:pPr>
      <w:r>
        <w:rPr>
          <w:rFonts w:hint="eastAsia" w:ascii="宋体" w:hAnsi="宋体" w:cs="宋体"/>
          <w:sz w:val="32"/>
          <w:szCs w:val="32"/>
        </w:rPr>
        <w:t>九、政府性基金预算财政拨款支出决算情况说明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十、机关运行经费支出情况说明</w:t>
      </w:r>
    </w:p>
    <w:p>
      <w:pPr>
        <w:ind w:firstLine="640" w:firstLineChars="200"/>
        <w:jc w:val="left"/>
        <w:rPr>
          <w:rFonts w:hint="eastAsia" w:ascii="宋体" w:hAnsi="宋体" w:cs="宋体"/>
          <w:sz w:val="32"/>
          <w:szCs w:val="32"/>
        </w:rPr>
      </w:pPr>
      <w:r>
        <w:rPr>
          <w:rFonts w:hint="eastAsia" w:ascii="宋体" w:hAnsi="宋体" w:cs="宋体"/>
          <w:sz w:val="32"/>
          <w:szCs w:val="32"/>
        </w:rPr>
        <w:t>十一、政府采购支出情况说明</w:t>
      </w:r>
    </w:p>
    <w:p>
      <w:pPr>
        <w:ind w:firstLine="640" w:firstLineChars="200"/>
        <w:jc w:val="left"/>
        <w:rPr>
          <w:rFonts w:hint="eastAsia" w:ascii="宋体" w:hAnsi="宋体" w:cs="宋体"/>
          <w:sz w:val="32"/>
          <w:szCs w:val="32"/>
        </w:rPr>
      </w:pPr>
      <w:r>
        <w:rPr>
          <w:rFonts w:hint="eastAsia" w:ascii="宋体" w:hAnsi="宋体" w:cs="宋体"/>
          <w:sz w:val="32"/>
          <w:szCs w:val="32"/>
        </w:rPr>
        <w:t>十二、国有资产占用情况说明</w:t>
      </w:r>
    </w:p>
    <w:p>
      <w:pPr>
        <w:jc w:val="left"/>
        <w:rPr>
          <w:rFonts w:hint="eastAsia" w:ascii="黑体" w:hAnsi="黑体" w:eastAsia="黑体" w:cs="黑体"/>
          <w:sz w:val="32"/>
          <w:szCs w:val="32"/>
        </w:rPr>
      </w:pPr>
      <w:r>
        <w:rPr>
          <w:rFonts w:hint="eastAsia" w:ascii="黑体" w:hAnsi="黑体" w:eastAsia="黑体" w:cs="黑体"/>
          <w:sz w:val="32"/>
          <w:szCs w:val="32"/>
        </w:rPr>
        <w:t>第四部分　　名词解释</w:t>
      </w:r>
    </w:p>
    <w:p>
      <w:pPr>
        <w:ind w:firstLine="640" w:firstLineChars="200"/>
        <w:jc w:val="left"/>
        <w:rPr>
          <w:rFonts w:ascii="宋体" w:hAnsi="宋体" w:cs="宋体"/>
          <w:sz w:val="32"/>
          <w:szCs w:val="32"/>
        </w:rPr>
      </w:pPr>
    </w:p>
    <w:p>
      <w:pPr>
        <w:jc w:val="left"/>
        <w:rPr>
          <w:rFonts w:hint="eastAsia" w:ascii="黑体" w:hAnsi="黑体" w:eastAsia="黑体" w:cs="黑体"/>
          <w:sz w:val="32"/>
          <w:szCs w:val="32"/>
        </w:rPr>
        <w:sectPr>
          <w:footerReference r:id="rId3" w:type="default"/>
          <w:footerReference r:id="rId4" w:type="even"/>
          <w:pgSz w:w="11906" w:h="16838"/>
          <w:pgMar w:top="1440" w:right="1531" w:bottom="1440" w:left="1587" w:header="850" w:footer="992" w:gutter="0"/>
          <w:pgNumType w:fmt="numberInDash" w:start="1"/>
          <w:cols w:space="720" w:num="1"/>
          <w:docGrid w:type="lines" w:linePitch="317" w:charSpace="0"/>
        </w:sect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center"/>
        <w:outlineLvl w:val="0"/>
        <w:rPr>
          <w:rFonts w:hint="eastAsia" w:ascii="黑体" w:hAnsi="宋体" w:eastAsia="黑体" w:cs="宋体"/>
          <w:kern w:val="0"/>
          <w:sz w:val="28"/>
          <w:szCs w:val="28"/>
        </w:rPr>
      </w:pPr>
      <w:r>
        <w:rPr>
          <w:rFonts w:hint="eastAsia" w:ascii="黑体" w:hAnsi="黑体" w:eastAsia="黑体" w:cs="黑体"/>
          <w:sz w:val="48"/>
          <w:szCs w:val="48"/>
        </w:rPr>
        <w:t xml:space="preserve">第一部分  </w:t>
      </w:r>
      <w:r>
        <w:rPr>
          <w:rFonts w:hint="eastAsia" w:ascii="黑体" w:hAnsi="黑体" w:eastAsia="黑体" w:cs="黑体"/>
          <w:sz w:val="48"/>
          <w:szCs w:val="48"/>
          <w:lang w:eastAsia="zh-CN"/>
        </w:rPr>
        <w:t>濮阳市科学技术协会</w:t>
      </w:r>
      <w:r>
        <w:rPr>
          <w:rFonts w:hint="eastAsia" w:ascii="黑体" w:hAnsi="黑体" w:eastAsia="黑体" w:cs="黑体"/>
          <w:sz w:val="48"/>
          <w:szCs w:val="48"/>
        </w:rPr>
        <w:t>概况</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p>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一、部门</w:t>
      </w:r>
      <w:r>
        <w:rPr>
          <w:rFonts w:hint="eastAsia" w:ascii="黑体" w:hAnsi="黑体" w:eastAsia="黑体" w:cs="黑体"/>
          <w:bCs/>
          <w:sz w:val="32"/>
          <w:szCs w:val="32"/>
        </w:rPr>
        <w:t>职责</w:t>
      </w:r>
    </w:p>
    <w:p>
      <w:pPr>
        <w:widowControl/>
        <w:ind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 xml:space="preserve">濮阳市科学技术协会的办事机构，相当于处级，其主要职责 是： </w:t>
      </w:r>
    </w:p>
    <w:p>
      <w:pPr>
        <w:widowControl/>
        <w:ind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 xml:space="preserve">（一）普及科学知识，传播科学思想和方法，推广先进技术， 开展青少年科技教育活动；反映科技工作者的意见和要求，维护 科技工作者的合法权益等。 </w:t>
      </w:r>
    </w:p>
    <w:p>
      <w:pPr>
        <w:widowControl/>
        <w:numPr>
          <w:ilvl w:val="0"/>
          <w:numId w:val="2"/>
        </w:numPr>
        <w:ind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 xml:space="preserve">开展学术交流，活跃学术思想，促进学科发展，倡导 科学方法，传播科学思想，弘扬科学精神，捍卫科学尊严。 </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 xml:space="preserve">开展青少年科学技术教育活动，提高全民族的科学文 化素质；组织科学技术工作者参与本市科学技术政策、法规制定 和本市地方事务的政治协商、科学决策、民主监督工作；表彰奖 励优秀科学技术工作者及优秀成果，举荐人才。 </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 xml:space="preserve">开展科学论证、咨询服务，提出政策建议，促进科学 技术成果的转化，接受委托承担项目评估、成果鉴定、专业技术 职务资格评审等任务。 </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开展民间国际科学技术交流活动，发展同国外的科学 技术团体和科学技术工作者的友好交往。</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 xml:space="preserve">开展继续教育和培训工作；编辑出版科学、技术和科 普书、报、刊，兴办科普和科技活动场所，兴办其他符合市科协 宗旨的事（企）业；对所属市级学会履行业务主管单位的管理和 监督职责。 </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负责对全市性自然科学类社会团体进行监督管理；对所属学会（协会、研究会）进行领导，对县（区）科协进行业务指导。</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指导濮阳市反邪教协会和各县（区）反邪教协会的工作，开展捍卫科学尊严和反对愚昧迷信、伪科学、反科学的活动。</w:t>
      </w:r>
    </w:p>
    <w:p>
      <w:pPr>
        <w:widowControl/>
        <w:numPr>
          <w:ilvl w:val="0"/>
          <w:numId w:val="2"/>
        </w:numPr>
        <w:ind w:left="0" w:leftChars="0" w:firstLine="640" w:firstLineChars="200"/>
        <w:jc w:val="left"/>
        <w:outlineLvl w:val="1"/>
        <w:rPr>
          <w:rFonts w:hint="eastAsia" w:ascii="仿宋" w:hAnsi="仿宋" w:eastAsia="仿宋" w:cs="仿宋"/>
          <w:sz w:val="32"/>
          <w:szCs w:val="32"/>
        </w:rPr>
      </w:pPr>
      <w:r>
        <w:rPr>
          <w:rFonts w:hint="eastAsia" w:ascii="仿宋" w:hAnsi="仿宋" w:eastAsia="仿宋" w:cs="仿宋"/>
          <w:sz w:val="32"/>
          <w:szCs w:val="32"/>
        </w:rPr>
        <w:t>负责科协交办的其他事项。</w:t>
      </w:r>
    </w:p>
    <w:p>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二、机构设置</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濮阳市科学技术协会无下属二级预算单位，单位内设机构7个。</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1.办公室</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2.学会部</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3.科学技术普及部</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4.濮阳市青少年科技中心</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5.反邪教协会办公室</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6.科技咨询服务中心</w:t>
      </w:r>
    </w:p>
    <w:p>
      <w:pPr>
        <w:widowControl/>
        <w:ind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7.科学技术普及中心</w:t>
      </w:r>
    </w:p>
    <w:p>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从决算单位构成看，</w:t>
      </w:r>
      <w:r>
        <w:rPr>
          <w:rFonts w:hint="eastAsia" w:ascii="仿宋_GB2312" w:hAnsi="仿宋_GB2312" w:eastAsia="仿宋_GB2312" w:cs="仿宋_GB2312"/>
          <w:kern w:val="0"/>
          <w:sz w:val="32"/>
          <w:szCs w:val="32"/>
          <w:lang w:eastAsia="zh-CN"/>
        </w:rPr>
        <w:t>濮阳市科学技术协会</w:t>
      </w:r>
      <w:r>
        <w:rPr>
          <w:rFonts w:hint="eastAsia" w:ascii="仿宋_GB2312" w:hAnsi="仿宋_GB2312" w:eastAsia="仿宋_GB2312" w:cs="仿宋_GB2312"/>
          <w:kern w:val="0"/>
          <w:sz w:val="32"/>
          <w:szCs w:val="32"/>
        </w:rPr>
        <w:t>部门决算包括：本级决算、所属单位决算。</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both"/>
        <w:outlineLvl w:val="0"/>
        <w:rPr>
          <w:rFonts w:hint="eastAsia" w:ascii="黑体" w:hAnsi="黑体" w:eastAsia="黑体" w:cs="黑体"/>
          <w:sz w:val="48"/>
          <w:szCs w:val="48"/>
        </w:rPr>
      </w:pPr>
    </w:p>
    <w:p>
      <w:pPr>
        <w:jc w:val="center"/>
        <w:outlineLvl w:val="0"/>
        <w:rPr>
          <w:rFonts w:hint="eastAsia" w:ascii="黑体" w:hAnsi="黑体" w:eastAsia="黑体" w:cs="黑体"/>
          <w:sz w:val="48"/>
          <w:szCs w:val="4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第二部分  20</w:t>
      </w:r>
      <w:r>
        <w:rPr>
          <w:rFonts w:hint="eastAsia" w:ascii="黑体" w:hAnsi="黑体" w:eastAsia="黑体" w:cs="黑体"/>
          <w:sz w:val="48"/>
          <w:szCs w:val="48"/>
          <w:lang w:val="en-US" w:eastAsia="zh-CN"/>
        </w:rPr>
        <w:t>20</w:t>
      </w:r>
      <w:r>
        <w:rPr>
          <w:rFonts w:hint="eastAsia" w:ascii="黑体" w:hAnsi="黑体" w:eastAsia="黑体" w:cs="黑体"/>
          <w:sz w:val="48"/>
          <w:szCs w:val="48"/>
        </w:rPr>
        <w:t>年度部门决算表</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4881"/>
        <w:gridCol w:w="879"/>
        <w:gridCol w:w="1766"/>
        <w:gridCol w:w="4595"/>
        <w:gridCol w:w="879"/>
        <w:gridCol w:w="1174"/>
      </w:tblGrid>
      <w:tr>
        <w:tblPrEx>
          <w:tblCellMar>
            <w:top w:w="0" w:type="dxa"/>
            <w:left w:w="108" w:type="dxa"/>
            <w:bottom w:w="0" w:type="dxa"/>
            <w:right w:w="108" w:type="dxa"/>
          </w:tblCellMar>
        </w:tblPrEx>
        <w:trPr>
          <w:trHeight w:val="375" w:hRule="atLeast"/>
        </w:trPr>
        <w:tc>
          <w:tcPr>
            <w:tcW w:w="14174" w:type="dxa"/>
            <w:gridSpan w:val="6"/>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tblPrEx>
          <w:tblCellMar>
            <w:top w:w="0" w:type="dxa"/>
            <w:left w:w="108" w:type="dxa"/>
            <w:bottom w:w="0" w:type="dxa"/>
            <w:right w:w="108" w:type="dxa"/>
          </w:tblCellMar>
        </w:tblPrEx>
        <w:trPr>
          <w:trHeight w:val="300" w:hRule="atLeast"/>
        </w:trPr>
        <w:tc>
          <w:tcPr>
            <w:tcW w:w="14174" w:type="dxa"/>
            <w:gridSpan w:val="6"/>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公开01表</w:t>
            </w:r>
          </w:p>
        </w:tc>
      </w:tr>
      <w:tr>
        <w:tblPrEx>
          <w:tblCellMar>
            <w:top w:w="0" w:type="dxa"/>
            <w:left w:w="108" w:type="dxa"/>
            <w:bottom w:w="0" w:type="dxa"/>
            <w:right w:w="108" w:type="dxa"/>
          </w:tblCellMar>
        </w:tblPrEx>
        <w:trPr>
          <w:trHeight w:val="300" w:hRule="atLeast"/>
        </w:trPr>
        <w:tc>
          <w:tcPr>
            <w:tcW w:w="5760" w:type="dxa"/>
            <w:gridSpan w:val="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176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2020年度</w:t>
            </w:r>
          </w:p>
        </w:tc>
        <w:tc>
          <w:tcPr>
            <w:tcW w:w="6648"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752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664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CellMar>
            <w:top w:w="0" w:type="dxa"/>
            <w:left w:w="108" w:type="dxa"/>
            <w:bottom w:w="0" w:type="dxa"/>
            <w:right w:w="108" w:type="dxa"/>
          </w:tblCellMar>
        </w:tblPrEx>
        <w:trPr>
          <w:trHeight w:val="300" w:hRule="atLeast"/>
        </w:trPr>
        <w:tc>
          <w:tcPr>
            <w:tcW w:w="48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45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11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r>
      <w:tr>
        <w:tblPrEx>
          <w:tblCellMar>
            <w:top w:w="0" w:type="dxa"/>
            <w:left w:w="108" w:type="dxa"/>
            <w:bottom w:w="0" w:type="dxa"/>
            <w:right w:w="108" w:type="dxa"/>
          </w:tblCellMar>
        </w:tblPrEx>
        <w:trPr>
          <w:trHeight w:val="300" w:hRule="atLeast"/>
        </w:trPr>
        <w:tc>
          <w:tcPr>
            <w:tcW w:w="488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87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5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879"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一、一般公共预算财政拨款收入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645.06</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一、一般公共服务支出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二、政府性基金预算财政拨款收入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二、外交支出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三、国有资本经营预算财政拨款收入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三、国防支出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四、上级补助收入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四、公共安全支出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五、事业收入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五、教育支出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六、经营收入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六、科学技术支出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662.32</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七、附属单位上缴收入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七、文化旅游体育与传媒支出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八、其他收入</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八、社会保障和就业支出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88.33</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九、卫生健康支出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十、节能环保支出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十一、城乡社区支出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十二、农林水支出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十三、交通运输支出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十四、资源勘探工业信息等支出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十五、商业服务业等支出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十六、金融支出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十七、援助其他地区支出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十八、自然资源海洋气象等支出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十九、住房保障支出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二十、粮油物资储备支出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二十一、国有资本经营预算支出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二十二、灾害防治及应急管理支出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二十三、其他支出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二十四、债务还本支出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二十五、债务付息支出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二十六、抗疫特别国债安排的支出</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本年收入合计</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665.06</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本年支出合计</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758.30</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结余分配</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年初结转和结余</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248.18</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年末结转和结余</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154.94</w:t>
            </w: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459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17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881"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879" w:type="dxa"/>
            <w:tcBorders>
              <w:top w:val="nil"/>
              <w:left w:val="nil"/>
              <w:bottom w:val="single" w:color="000000" w:sz="12"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913.23</w:t>
            </w:r>
          </w:p>
        </w:tc>
        <w:tc>
          <w:tcPr>
            <w:tcW w:w="45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87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17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913.23</w:t>
            </w:r>
          </w:p>
        </w:tc>
      </w:tr>
      <w:tr>
        <w:tblPrEx>
          <w:tblCellMar>
            <w:top w:w="0" w:type="dxa"/>
            <w:left w:w="108" w:type="dxa"/>
            <w:bottom w:w="0" w:type="dxa"/>
            <w:right w:w="108" w:type="dxa"/>
          </w:tblCellMar>
        </w:tblPrEx>
        <w:trPr>
          <w:trHeight w:val="300" w:hRule="atLeast"/>
        </w:trPr>
        <w:tc>
          <w:tcPr>
            <w:tcW w:w="14174" w:type="dxa"/>
            <w:gridSpan w:val="6"/>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注：本表反映部门本年度的总收支和年末结转结余情况。本套报表金额单位转换时可能存在尾数误差。</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1296"/>
        <w:gridCol w:w="3616"/>
        <w:gridCol w:w="2121"/>
        <w:gridCol w:w="1393"/>
        <w:gridCol w:w="1138"/>
        <w:gridCol w:w="1138"/>
        <w:gridCol w:w="1138"/>
        <w:gridCol w:w="1139"/>
        <w:gridCol w:w="1195"/>
      </w:tblGrid>
      <w:tr>
        <w:tblPrEx>
          <w:tblCellMar>
            <w:top w:w="0" w:type="dxa"/>
            <w:left w:w="108" w:type="dxa"/>
            <w:bottom w:w="0" w:type="dxa"/>
            <w:right w:w="108" w:type="dxa"/>
          </w:tblCellMar>
        </w:tblPrEx>
        <w:trPr>
          <w:trHeight w:val="375"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收入决算表</w:t>
            </w: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公开02表</w:t>
            </w:r>
          </w:p>
        </w:tc>
      </w:tr>
      <w:tr>
        <w:tblPrEx>
          <w:tblCellMar>
            <w:top w:w="0" w:type="dxa"/>
            <w:left w:w="108" w:type="dxa"/>
            <w:bottom w:w="0" w:type="dxa"/>
            <w:right w:w="108" w:type="dxa"/>
          </w:tblCellMar>
        </w:tblPrEx>
        <w:trPr>
          <w:trHeight w:val="300" w:hRule="atLeast"/>
        </w:trPr>
        <w:tc>
          <w:tcPr>
            <w:tcW w:w="7033"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1393"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2020年度</w:t>
            </w:r>
          </w:p>
        </w:tc>
        <w:tc>
          <w:tcPr>
            <w:tcW w:w="5748"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49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212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139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财政拨款收入</w:t>
            </w:r>
          </w:p>
        </w:tc>
        <w:tc>
          <w:tcPr>
            <w:tcW w:w="113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113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113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经营收入</w:t>
            </w:r>
          </w:p>
        </w:tc>
        <w:tc>
          <w:tcPr>
            <w:tcW w:w="113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11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r>
      <w:tr>
        <w:tblPrEx>
          <w:tblCellMar>
            <w:top w:w="0" w:type="dxa"/>
            <w:left w:w="108" w:type="dxa"/>
            <w:bottom w:w="0" w:type="dxa"/>
            <w:right w:w="108" w:type="dxa"/>
          </w:tblCellMar>
        </w:tblPrEx>
        <w:trPr>
          <w:trHeight w:val="300" w:hRule="atLeast"/>
        </w:trPr>
        <w:tc>
          <w:tcPr>
            <w:tcW w:w="129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功能分类科目编码</w:t>
            </w:r>
          </w:p>
        </w:tc>
        <w:tc>
          <w:tcPr>
            <w:tcW w:w="36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212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9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9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6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12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9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9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6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12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9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9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9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212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r>
      <w:tr>
        <w:tblPrEx>
          <w:tblCellMar>
            <w:top w:w="0" w:type="dxa"/>
            <w:left w:w="108" w:type="dxa"/>
            <w:bottom w:w="0" w:type="dxa"/>
            <w:right w:w="108" w:type="dxa"/>
          </w:tblCellMar>
        </w:tblPrEx>
        <w:trPr>
          <w:trHeight w:val="300" w:hRule="atLeast"/>
        </w:trPr>
        <w:tc>
          <w:tcPr>
            <w:tcW w:w="4912"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665.06</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645.06</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科学技术支出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569.08</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549.08</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科学技术管理事务</w:t>
            </w:r>
          </w:p>
        </w:tc>
        <w:tc>
          <w:tcPr>
            <w:tcW w:w="212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9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9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2060199</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其他科学技术管理事务支出</w:t>
            </w:r>
          </w:p>
        </w:tc>
        <w:tc>
          <w:tcPr>
            <w:tcW w:w="212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9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9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20603</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应用研究</w:t>
            </w:r>
          </w:p>
        </w:tc>
        <w:tc>
          <w:tcPr>
            <w:tcW w:w="212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9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3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19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2060301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机构运行</w:t>
            </w:r>
          </w:p>
        </w:tc>
        <w:tc>
          <w:tcPr>
            <w:tcW w:w="212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9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3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9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20607</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科学技术普及</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546.08</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526.08</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机构运行</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264.98</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264.98</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2060702</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科普活动</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150.50</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130.50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2060704</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学术交流活动</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12.50</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2060799</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其他科学技术普及支出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118.10</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20699</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其他科学技术支出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23.00</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2069901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科技奖励</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208</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20805</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行政事业单位养老支出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行政单位离退休</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63.10</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2080502</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事业单位离退休</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21011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行政事业单位医疗</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29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行政单位医疗</w:t>
            </w:r>
          </w:p>
        </w:tc>
        <w:tc>
          <w:tcPr>
            <w:tcW w:w="212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3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9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注：本表反映部门本年度取得的各项收入情况。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1337"/>
        <w:gridCol w:w="3616"/>
        <w:gridCol w:w="2493"/>
        <w:gridCol w:w="1385"/>
        <w:gridCol w:w="1385"/>
        <w:gridCol w:w="1317"/>
        <w:gridCol w:w="1317"/>
        <w:gridCol w:w="1324"/>
      </w:tblGrid>
      <w:tr>
        <w:tblPrEx>
          <w:tblCellMar>
            <w:top w:w="0" w:type="dxa"/>
            <w:left w:w="108" w:type="dxa"/>
            <w:bottom w:w="0" w:type="dxa"/>
            <w:right w:w="108" w:type="dxa"/>
          </w:tblCellMar>
        </w:tblPrEx>
        <w:trPr>
          <w:trHeight w:val="375" w:hRule="atLeast"/>
        </w:trPr>
        <w:tc>
          <w:tcPr>
            <w:tcW w:w="14174" w:type="dxa"/>
            <w:gridSpan w:val="8"/>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支出决算表</w:t>
            </w:r>
          </w:p>
        </w:tc>
      </w:tr>
      <w:tr>
        <w:tblPrEx>
          <w:tblCellMar>
            <w:top w:w="0" w:type="dxa"/>
            <w:left w:w="108" w:type="dxa"/>
            <w:bottom w:w="0" w:type="dxa"/>
            <w:right w:w="108" w:type="dxa"/>
          </w:tblCellMar>
        </w:tblPrEx>
        <w:trPr>
          <w:trHeight w:val="300" w:hRule="atLeast"/>
        </w:trPr>
        <w:tc>
          <w:tcPr>
            <w:tcW w:w="14174" w:type="dxa"/>
            <w:gridSpan w:val="8"/>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公开03表</w:t>
            </w:r>
          </w:p>
        </w:tc>
      </w:tr>
      <w:tr>
        <w:tblPrEx>
          <w:tblCellMar>
            <w:top w:w="0" w:type="dxa"/>
            <w:left w:w="108" w:type="dxa"/>
            <w:bottom w:w="0" w:type="dxa"/>
            <w:right w:w="108" w:type="dxa"/>
          </w:tblCellMar>
        </w:tblPrEx>
        <w:trPr>
          <w:trHeight w:val="300" w:hRule="atLeast"/>
        </w:trPr>
        <w:tc>
          <w:tcPr>
            <w:tcW w:w="4953" w:type="dxa"/>
            <w:gridSpan w:val="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2493"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2020年度</w:t>
            </w:r>
          </w:p>
        </w:tc>
        <w:tc>
          <w:tcPr>
            <w:tcW w:w="6728"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495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249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138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38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c>
          <w:tcPr>
            <w:tcW w:w="131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上缴上级支出</w:t>
            </w:r>
          </w:p>
        </w:tc>
        <w:tc>
          <w:tcPr>
            <w:tcW w:w="131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经营支出</w:t>
            </w:r>
          </w:p>
        </w:tc>
        <w:tc>
          <w:tcPr>
            <w:tcW w:w="132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对附属单位补助支出</w:t>
            </w:r>
          </w:p>
        </w:tc>
      </w:tr>
      <w:tr>
        <w:tblPrEx>
          <w:tblCellMar>
            <w:top w:w="0" w:type="dxa"/>
            <w:left w:w="108" w:type="dxa"/>
            <w:bottom w:w="0" w:type="dxa"/>
            <w:right w:w="108" w:type="dxa"/>
          </w:tblCellMar>
        </w:tblPrEx>
        <w:trPr>
          <w:trHeight w:val="300" w:hRule="atLeast"/>
        </w:trPr>
        <w:tc>
          <w:tcPr>
            <w:tcW w:w="133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功能分类科目编码</w:t>
            </w:r>
          </w:p>
        </w:tc>
        <w:tc>
          <w:tcPr>
            <w:tcW w:w="36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249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2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6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49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2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6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49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2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495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24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CellMar>
            <w:top w:w="0" w:type="dxa"/>
            <w:left w:w="108" w:type="dxa"/>
            <w:bottom w:w="0" w:type="dxa"/>
            <w:right w:w="108" w:type="dxa"/>
          </w:tblCellMar>
        </w:tblPrEx>
        <w:trPr>
          <w:trHeight w:val="300" w:hRule="atLeast"/>
        </w:trPr>
        <w:tc>
          <w:tcPr>
            <w:tcW w:w="4953"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758.30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360.96</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397.34</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科学技术支出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662.32</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264.98</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397.34</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科学技术管理事务</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24.04</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24.04</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2060199</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其他科学技术管理事务支出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24.04</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24.04</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20603</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应用研究</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2060301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机构运行</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20607</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科学技术普及</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594.27</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264.98</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329.30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机构运行</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264.98</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264.98</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2060702</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科普活动</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315.80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315.80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2060704</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学术交流活动</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2060799</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其他科学技术普及支出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20699</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其他科学技术支出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44.00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44.00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2069901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科技奖励</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208</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社会保障和就业支出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20805</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行政事业单位养老支出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行政单位离退休</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63.10</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63.10</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2080502</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事业单位离退休</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卫生健康支出</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21011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行政事业单位医疗</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33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2101101</w:t>
            </w:r>
          </w:p>
        </w:tc>
        <w:tc>
          <w:tcPr>
            <w:tcW w:w="36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行政单位医疗</w:t>
            </w:r>
          </w:p>
        </w:tc>
        <w:tc>
          <w:tcPr>
            <w:tcW w:w="249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38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38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1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32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14174" w:type="dxa"/>
            <w:gridSpan w:val="8"/>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注：本表反映部门本年度各项支出情况。</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3333"/>
        <w:gridCol w:w="539"/>
        <w:gridCol w:w="1369"/>
        <w:gridCol w:w="3765"/>
        <w:gridCol w:w="539"/>
        <w:gridCol w:w="899"/>
        <w:gridCol w:w="1366"/>
        <w:gridCol w:w="1151"/>
        <w:gridCol w:w="1213"/>
      </w:tblGrid>
      <w:tr>
        <w:tblPrEx>
          <w:tblCellMar>
            <w:top w:w="0" w:type="dxa"/>
            <w:left w:w="108" w:type="dxa"/>
            <w:bottom w:w="0" w:type="dxa"/>
            <w:right w:w="108" w:type="dxa"/>
          </w:tblCellMar>
        </w:tblPrEx>
        <w:trPr>
          <w:trHeight w:val="375"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公开04表</w:t>
            </w:r>
          </w:p>
        </w:tc>
      </w:tr>
      <w:tr>
        <w:tblPrEx>
          <w:tblCellMar>
            <w:top w:w="0" w:type="dxa"/>
            <w:left w:w="108" w:type="dxa"/>
            <w:bottom w:w="0" w:type="dxa"/>
            <w:right w:w="108" w:type="dxa"/>
          </w:tblCellMar>
        </w:tblPrEx>
        <w:trPr>
          <w:trHeight w:val="300" w:hRule="atLeast"/>
        </w:trPr>
        <w:tc>
          <w:tcPr>
            <w:tcW w:w="5241"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5203"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2020年度</w:t>
            </w:r>
          </w:p>
        </w:tc>
        <w:tc>
          <w:tcPr>
            <w:tcW w:w="3730"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524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8933"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     出</w:t>
            </w:r>
          </w:p>
        </w:tc>
      </w:tr>
      <w:tr>
        <w:tblPrEx>
          <w:tblCellMar>
            <w:top w:w="0" w:type="dxa"/>
            <w:left w:w="108" w:type="dxa"/>
            <w:bottom w:w="0" w:type="dxa"/>
            <w:right w:w="108" w:type="dxa"/>
          </w:tblCellMar>
        </w:tblPrEx>
        <w:trPr>
          <w:trHeight w:val="285" w:hRule="atLeast"/>
        </w:trPr>
        <w:tc>
          <w:tcPr>
            <w:tcW w:w="333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3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136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3765" w:type="dxa"/>
            <w:vMerge w:val="restart"/>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3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89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36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一般公共预算财政拨款</w:t>
            </w:r>
          </w:p>
        </w:tc>
        <w:tc>
          <w:tcPr>
            <w:tcW w:w="115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政府性基金预算财政拨款</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国有资本经营预算财政拨款</w:t>
            </w:r>
          </w:p>
        </w:tc>
      </w:tr>
      <w:tr>
        <w:tblPrEx>
          <w:tblCellMar>
            <w:top w:w="0" w:type="dxa"/>
            <w:left w:w="108" w:type="dxa"/>
            <w:bottom w:w="0" w:type="dxa"/>
            <w:right w:w="108" w:type="dxa"/>
          </w:tblCellMar>
        </w:tblPrEx>
        <w:trPr>
          <w:trHeight w:val="600" w:hRule="atLeast"/>
        </w:trPr>
        <w:tc>
          <w:tcPr>
            <w:tcW w:w="333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0"/>
                <w:szCs w:val="20"/>
                <w:u w:val="none"/>
              </w:rPr>
            </w:pPr>
          </w:p>
        </w:tc>
        <w:tc>
          <w:tcPr>
            <w:tcW w:w="5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6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765" w:type="dxa"/>
            <w:vMerge w:val="continue"/>
            <w:tcBorders>
              <w:top w:val="single" w:color="000000" w:sz="4" w:space="0"/>
              <w:left w:val="single" w:color="000000" w:sz="4" w:space="0"/>
              <w:bottom w:val="single" w:color="000000" w:sz="4" w:space="0"/>
              <w:right w:val="single" w:color="000000" w:sz="4" w:space="0"/>
            </w:tcBorders>
            <w:vAlign w:val="bottom"/>
          </w:tcPr>
          <w:p>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0"/>
                <w:szCs w:val="20"/>
                <w:u w:val="none"/>
              </w:rPr>
            </w:pPr>
          </w:p>
        </w:tc>
        <w:tc>
          <w:tcPr>
            <w:tcW w:w="5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9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6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5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21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53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36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765" w:type="dxa"/>
            <w:tcBorders>
              <w:top w:val="nil"/>
              <w:left w:val="nil"/>
              <w:bottom w:val="single" w:color="000000" w:sz="4" w:space="0"/>
              <w:right w:val="single" w:color="000000" w:sz="4" w:space="0"/>
            </w:tcBorders>
            <w:vAlign w:val="bottom"/>
          </w:tcPr>
          <w:p>
            <w:pPr>
              <w:keepNext w:val="0"/>
              <w:keepLines w:val="0"/>
              <w:widowControl/>
              <w:suppressLineNumbers w:val="0"/>
              <w:spacing w:before="0" w:beforeAutospacing="0" w:after="0" w:afterAutospacing="0"/>
              <w:ind w:left="0" w:right="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53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5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1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一、一般公共预算财政拨款</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6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645.06</w:t>
            </w: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一、一般公共服务支出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二、政府性基金预算财政拨款</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二、外交支出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三、国有资本经营财政拨款</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三、国防支出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四、公共安全支出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五、教育支出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六、科学技术支出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652.32</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652.32</w:t>
            </w: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七、文化旅游体育与传媒支出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八、社会保障和就业支出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88.33</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88.33</w:t>
            </w: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九、卫生健康支出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十、节能环保支出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十一、城乡社区支出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十二、农林水支出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十三、交通运输支出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十四、资源勘探工业信息等支出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十五、商业服务业等支出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十六、金融支出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十七、援助其他地区支出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十八、自然资源海洋气象等支出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十九、住房保障支出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二十、粮油物资储备支出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二十一、国有资本经营预算支出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二十二、灾害防治及应急管理支出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二十三、其他支出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二十四、债务还本支出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二十五、债务付息支出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二十六、抗疫特别国债安排的支出</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本年收入合计</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36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645.06</w:t>
            </w: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本年支出合计</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748.30</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748.30</w:t>
            </w: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年初财政拨款结转和结余</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36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248.18</w:t>
            </w: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年末财政拨款结转和结余</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144.94</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144.94</w:t>
            </w: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一般公共预算财政拨款</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36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248.18</w:t>
            </w:r>
          </w:p>
        </w:tc>
        <w:tc>
          <w:tcPr>
            <w:tcW w:w="376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政府性基金预算财政拨款</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国有资本经营预算财政拨款</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36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76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99"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36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33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539" w:type="dxa"/>
            <w:tcBorders>
              <w:top w:val="nil"/>
              <w:left w:val="nil"/>
              <w:bottom w:val="single" w:color="000000" w:sz="12"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36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893.23</w:t>
            </w:r>
          </w:p>
        </w:tc>
        <w:tc>
          <w:tcPr>
            <w:tcW w:w="37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53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899"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893.23</w:t>
            </w:r>
          </w:p>
        </w:tc>
        <w:tc>
          <w:tcPr>
            <w:tcW w:w="136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893.23</w:t>
            </w:r>
          </w:p>
        </w:tc>
        <w:tc>
          <w:tcPr>
            <w:tcW w:w="115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21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2961" w:type="dxa"/>
            <w:gridSpan w:val="8"/>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注：本表反映部门本年度一般公共预算财政拨款、政府性基金预算财政拨款和国有资本经营预算财政拨款的总收支和年末结转结余情况。</w:t>
            </w:r>
          </w:p>
        </w:tc>
        <w:tc>
          <w:tcPr>
            <w:tcW w:w="1213" w:type="dxa"/>
            <w:tcBorders>
              <w:top w:val="nil"/>
              <w:left w:val="nil"/>
              <w:bottom w:val="nil"/>
              <w:right w:val="nil"/>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1973"/>
        <w:gridCol w:w="5315"/>
        <w:gridCol w:w="2370"/>
        <w:gridCol w:w="2254"/>
        <w:gridCol w:w="2262"/>
      </w:tblGrid>
      <w:tr>
        <w:tblPrEx>
          <w:tblCellMar>
            <w:top w:w="0" w:type="dxa"/>
            <w:left w:w="108" w:type="dxa"/>
            <w:bottom w:w="0" w:type="dxa"/>
            <w:right w:w="108" w:type="dxa"/>
          </w:tblCellMar>
        </w:tblPrEx>
        <w:trPr>
          <w:trHeight w:val="375" w:hRule="atLeast"/>
        </w:trPr>
        <w:tc>
          <w:tcPr>
            <w:tcW w:w="14174"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tblPrEx>
          <w:tblCellMar>
            <w:top w:w="0" w:type="dxa"/>
            <w:left w:w="108" w:type="dxa"/>
            <w:bottom w:w="0" w:type="dxa"/>
            <w:right w:w="108" w:type="dxa"/>
          </w:tblCellMar>
        </w:tblPrEx>
        <w:trPr>
          <w:trHeight w:val="300" w:hRule="atLeast"/>
        </w:trPr>
        <w:tc>
          <w:tcPr>
            <w:tcW w:w="14174"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公开05表</w:t>
            </w:r>
          </w:p>
        </w:tc>
      </w:tr>
      <w:tr>
        <w:tblPrEx>
          <w:tblCellMar>
            <w:top w:w="0" w:type="dxa"/>
            <w:left w:w="108" w:type="dxa"/>
            <w:bottom w:w="0" w:type="dxa"/>
            <w:right w:w="108" w:type="dxa"/>
          </w:tblCellMar>
        </w:tblPrEx>
        <w:trPr>
          <w:trHeight w:val="300" w:hRule="atLeast"/>
        </w:trPr>
        <w:tc>
          <w:tcPr>
            <w:tcW w:w="7288" w:type="dxa"/>
            <w:gridSpan w:val="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2370"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2020年度</w:t>
            </w:r>
          </w:p>
        </w:tc>
        <w:tc>
          <w:tcPr>
            <w:tcW w:w="4516" w:type="dxa"/>
            <w:gridSpan w:val="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7288"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688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w:t>
            </w:r>
          </w:p>
        </w:tc>
      </w:tr>
      <w:tr>
        <w:tblPrEx>
          <w:tblCellMar>
            <w:top w:w="0" w:type="dxa"/>
            <w:left w:w="108" w:type="dxa"/>
            <w:bottom w:w="0" w:type="dxa"/>
            <w:right w:w="108" w:type="dxa"/>
          </w:tblCellMar>
        </w:tblPrEx>
        <w:trPr>
          <w:trHeight w:val="300" w:hRule="atLeast"/>
        </w:trPr>
        <w:tc>
          <w:tcPr>
            <w:tcW w:w="19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功能分类科目编码</w:t>
            </w:r>
          </w:p>
        </w:tc>
        <w:tc>
          <w:tcPr>
            <w:tcW w:w="531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237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25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226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CellMar>
            <w:top w:w="0" w:type="dxa"/>
            <w:left w:w="108" w:type="dxa"/>
            <w:bottom w:w="0" w:type="dxa"/>
            <w:right w:w="108" w:type="dxa"/>
          </w:tblCellMar>
        </w:tblPrEx>
        <w:trPr>
          <w:trHeight w:val="270" w:hRule="atLeast"/>
        </w:trPr>
        <w:tc>
          <w:tcPr>
            <w:tcW w:w="19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531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37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5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6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531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37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5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6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7288"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CellMar>
            <w:top w:w="0" w:type="dxa"/>
            <w:left w:w="108" w:type="dxa"/>
            <w:bottom w:w="0" w:type="dxa"/>
            <w:right w:w="108" w:type="dxa"/>
          </w:tblCellMar>
        </w:tblPrEx>
        <w:trPr>
          <w:trHeight w:val="300" w:hRule="atLeast"/>
        </w:trPr>
        <w:tc>
          <w:tcPr>
            <w:tcW w:w="7288"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748.30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360.96</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387.34</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科学技术支出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652.32</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264.98</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387.34</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科学技术管理事务</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24.04</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24.04</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2060199</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其他科学技术管理事务支出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24.04</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24.04</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20603</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应用研究</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2060301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机构运行</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20607</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科学技术普及</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584.27</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264.98</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319.30</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机构运行</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264.98</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264.98</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2060702</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科普活动</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305.80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305.80</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2060704</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学术交流活动</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2060799</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其他科学技术普及支出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20699</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其他科学技术支出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44.00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44.00</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2069901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科技奖励</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2262"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208</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社会保障和就业支出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20805</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行政事业单位养老支出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88.33</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行政单位离退休</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63.10</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63.10</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2080502</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事业单位离退休</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卫生健康支出</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21011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行政事业单位医疗</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7.65</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7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2101101</w:t>
            </w:r>
          </w:p>
        </w:tc>
        <w:tc>
          <w:tcPr>
            <w:tcW w:w="531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行政单位医疗</w:t>
            </w:r>
          </w:p>
        </w:tc>
        <w:tc>
          <w:tcPr>
            <w:tcW w:w="23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2262"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4174"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注：本表反映部门本年度一般公共预算财政拨款支出情况。</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716"/>
        <w:gridCol w:w="3216"/>
        <w:gridCol w:w="858"/>
        <w:gridCol w:w="716"/>
        <w:gridCol w:w="2216"/>
        <w:gridCol w:w="855"/>
        <w:gridCol w:w="716"/>
        <w:gridCol w:w="4016"/>
        <w:gridCol w:w="865"/>
      </w:tblGrid>
      <w:tr>
        <w:tblPrEx>
          <w:tblCellMar>
            <w:top w:w="0" w:type="dxa"/>
            <w:left w:w="108" w:type="dxa"/>
            <w:bottom w:w="0" w:type="dxa"/>
            <w:right w:w="108" w:type="dxa"/>
          </w:tblCellMar>
        </w:tblPrEx>
        <w:trPr>
          <w:trHeight w:val="375"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一般公共预算财政拨款基本支出决算表</w:t>
            </w:r>
          </w:p>
        </w:tc>
      </w:tr>
      <w:tr>
        <w:tblPrEx>
          <w:tblCellMar>
            <w:top w:w="0" w:type="dxa"/>
            <w:left w:w="108" w:type="dxa"/>
            <w:bottom w:w="0" w:type="dxa"/>
            <w:right w:w="108" w:type="dxa"/>
          </w:tblCellMar>
        </w:tblPrEx>
        <w:trPr>
          <w:trHeight w:val="300" w:hRule="atLeast"/>
        </w:trPr>
        <w:tc>
          <w:tcPr>
            <w:tcW w:w="14174" w:type="dxa"/>
            <w:gridSpan w:val="9"/>
            <w:vMerge w:val="restart"/>
            <w:tcBorders>
              <w:top w:val="nil"/>
              <w:left w:val="nil"/>
              <w:bottom w:val="nil"/>
              <w:right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2" w:hRule="atLeast"/>
        </w:trPr>
        <w:tc>
          <w:tcPr>
            <w:tcW w:w="14174" w:type="dxa"/>
            <w:gridSpan w:val="9"/>
            <w:vMerge w:val="continue"/>
            <w:tcBorders>
              <w:top w:val="nil"/>
              <w:left w:val="nil"/>
              <w:bottom w:val="nil"/>
              <w:right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tblPrEx>
          <w:tblCellMar>
            <w:top w:w="0" w:type="dxa"/>
            <w:left w:w="108" w:type="dxa"/>
            <w:bottom w:w="0" w:type="dxa"/>
            <w:right w:w="108" w:type="dxa"/>
          </w:tblCellMar>
        </w:tblPrEx>
        <w:trPr>
          <w:trHeight w:val="300" w:hRule="atLeast"/>
        </w:trPr>
        <w:tc>
          <w:tcPr>
            <w:tcW w:w="7722"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部门：濮阳市科学技术协会</w:t>
            </w:r>
          </w:p>
        </w:tc>
        <w:tc>
          <w:tcPr>
            <w:tcW w:w="6452" w:type="dxa"/>
            <w:gridSpan w:val="4"/>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479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84"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CellMar>
            <w:top w:w="0" w:type="dxa"/>
            <w:left w:w="108" w:type="dxa"/>
            <w:bottom w:w="0" w:type="dxa"/>
            <w:right w:w="108" w:type="dxa"/>
          </w:tblCellMar>
        </w:tblPrEx>
        <w:trPr>
          <w:trHeight w:val="300" w:hRule="atLeast"/>
        </w:trPr>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32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85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2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85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01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r>
      <w:tr>
        <w:tblPrEx>
          <w:tblCellMar>
            <w:top w:w="0" w:type="dxa"/>
            <w:left w:w="108" w:type="dxa"/>
            <w:bottom w:w="0" w:type="dxa"/>
            <w:right w:w="108" w:type="dxa"/>
          </w:tblCellMar>
        </w:tblPrEx>
        <w:trPr>
          <w:trHeight w:val="300" w:hRule="atLeast"/>
        </w:trPr>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32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5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401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32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285.85</w:t>
            </w:r>
          </w:p>
        </w:tc>
        <w:tc>
          <w:tcPr>
            <w:tcW w:w="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22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8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w:t>
            </w:r>
          </w:p>
        </w:tc>
        <w:tc>
          <w:tcPr>
            <w:tcW w:w="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40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债务利息及费用支出</w:t>
            </w:r>
          </w:p>
        </w:tc>
        <w:tc>
          <w:tcPr>
            <w:tcW w:w="8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30101</w:t>
            </w:r>
          </w:p>
        </w:tc>
        <w:tc>
          <w:tcPr>
            <w:tcW w:w="32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基本工资</w:t>
            </w:r>
          </w:p>
        </w:tc>
        <w:tc>
          <w:tcPr>
            <w:tcW w:w="8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123.03</w:t>
            </w:r>
          </w:p>
        </w:tc>
        <w:tc>
          <w:tcPr>
            <w:tcW w:w="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30201</w:t>
            </w:r>
          </w:p>
        </w:tc>
        <w:tc>
          <w:tcPr>
            <w:tcW w:w="22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办公费</w:t>
            </w:r>
          </w:p>
        </w:tc>
        <w:tc>
          <w:tcPr>
            <w:tcW w:w="8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0.58</w:t>
            </w:r>
          </w:p>
        </w:tc>
        <w:tc>
          <w:tcPr>
            <w:tcW w:w="7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30701</w:t>
            </w:r>
          </w:p>
        </w:tc>
        <w:tc>
          <w:tcPr>
            <w:tcW w:w="401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国内债务付息</w:t>
            </w:r>
          </w:p>
        </w:tc>
        <w:tc>
          <w:tcPr>
            <w:tcW w:w="8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30102</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津贴补贴</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19.38</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30202</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印刷费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0.01</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30702</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国外债务付息</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30103</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奖金</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102.64</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30203</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咨询费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资本性支出</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30106</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伙食补助费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30204</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手续费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31001</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房屋建筑物购建</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30107</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绩效工资</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11.31</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30205</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水费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31002</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办公设备购置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30108</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19.03</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30206</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电费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31003</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专用设备购置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30109</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职业年金缴费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30207</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邮电费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0.39</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31005</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基础设施建设</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30110</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职工基本医疗保险缴费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30208</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取暖费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31006</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大型修缮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30111</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公务员医疗补助缴费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30209</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物业管理费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31007</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信息网络及软件购置更新</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30112</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其他社会保障缴费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30211</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差旅费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31008</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物资储备</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30113</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住房公积金</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30212</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因公出国（境）费用</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31009</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土地补偿</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30114</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医疗费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30213</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维修（护）费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0.04</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31010</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安置补助</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30199</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其他工资福利支出</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30214</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租赁费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31011</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地上附着物和青苗补偿</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69.30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30215</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会议费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31012</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拆迁补偿</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30301</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离休费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30216</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培训费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31013</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公务用车购置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30302</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退休费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69.30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30217</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公务接待费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31019</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其他交通工具购置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30303</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退职（役）费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30218</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专用材料费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31021</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文物和陈列品购置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30304</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抚恤金</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30224</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被装购置费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31022</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无形资产购置</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30305</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生活补助</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30225</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专用燃料费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31099</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其他资本性支出</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30306</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救济费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30226</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劳务费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30307</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医疗费补助</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30227</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委托业务费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39906</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赠与</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30308</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助学金</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30228</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工会经费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39907</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国家赔偿费用支出</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30309</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奖励金</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30229</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福利费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39908</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对民间非营利组织和群众性自治组织补贴</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30310</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个人农业生产补贴</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30231</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公务用车运行维护费</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39999</w:t>
            </w:r>
          </w:p>
        </w:tc>
        <w:tc>
          <w:tcPr>
            <w:tcW w:w="40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其他支出</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30311</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代缴社会保险费</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30239</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其他交通费用</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0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6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30399</w:t>
            </w:r>
          </w:p>
        </w:tc>
        <w:tc>
          <w:tcPr>
            <w:tcW w:w="3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其他对个人和家庭的补助</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30240</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税金及附加费用</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7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0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6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716"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32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58"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7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30299</w:t>
            </w:r>
          </w:p>
        </w:tc>
        <w:tc>
          <w:tcPr>
            <w:tcW w:w="221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其他商品和服务支出</w:t>
            </w:r>
          </w:p>
        </w:tc>
        <w:tc>
          <w:tcPr>
            <w:tcW w:w="85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0.22</w:t>
            </w:r>
          </w:p>
        </w:tc>
        <w:tc>
          <w:tcPr>
            <w:tcW w:w="7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4016"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865"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932"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人员经费合计</w:t>
            </w:r>
          </w:p>
        </w:tc>
        <w:tc>
          <w:tcPr>
            <w:tcW w:w="85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355.16</w:t>
            </w:r>
          </w:p>
        </w:tc>
        <w:tc>
          <w:tcPr>
            <w:tcW w:w="8519" w:type="dxa"/>
            <w:gridSpan w:val="5"/>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公用经费合计</w:t>
            </w:r>
          </w:p>
        </w:tc>
        <w:tc>
          <w:tcPr>
            <w:tcW w:w="865"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w:t>
            </w: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注：本表反映部门本年度一般公共预算财政拨款基本支出明细情况。</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3993" w:type="dxa"/>
        <w:tblInd w:w="0" w:type="dxa"/>
        <w:tblLayout w:type="fixed"/>
        <w:tblCellMar>
          <w:top w:w="0" w:type="dxa"/>
          <w:left w:w="108" w:type="dxa"/>
          <w:bottom w:w="0" w:type="dxa"/>
          <w:right w:w="108" w:type="dxa"/>
        </w:tblCellMar>
      </w:tblPr>
      <w:tblGrid>
        <w:gridCol w:w="1164"/>
        <w:gridCol w:w="1164"/>
        <w:gridCol w:w="1164"/>
        <w:gridCol w:w="1170"/>
        <w:gridCol w:w="1164"/>
        <w:gridCol w:w="1167"/>
        <w:gridCol w:w="1164"/>
        <w:gridCol w:w="1164"/>
        <w:gridCol w:w="1164"/>
        <w:gridCol w:w="1164"/>
        <w:gridCol w:w="1168"/>
        <w:gridCol w:w="1176"/>
      </w:tblGrid>
      <w:tr>
        <w:trPr>
          <w:trHeight w:val="555" w:hRule="atLeast"/>
        </w:trPr>
        <w:tc>
          <w:tcPr>
            <w:tcW w:w="13993" w:type="dxa"/>
            <w:gridSpan w:val="1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一般公共预算财政拨款“三公”经费支出决算表</w:t>
            </w:r>
          </w:p>
        </w:tc>
      </w:tr>
      <w:tr>
        <w:tblPrEx>
          <w:tblCellMar>
            <w:top w:w="0" w:type="dxa"/>
            <w:left w:w="108" w:type="dxa"/>
            <w:bottom w:w="0" w:type="dxa"/>
            <w:right w:w="108" w:type="dxa"/>
          </w:tblCellMar>
        </w:tblPrEx>
        <w:trPr>
          <w:trHeight w:val="300" w:hRule="atLeast"/>
        </w:trPr>
        <w:tc>
          <w:tcPr>
            <w:tcW w:w="6993" w:type="dxa"/>
            <w:gridSpan w:val="6"/>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p>
        </w:tc>
        <w:tc>
          <w:tcPr>
            <w:tcW w:w="7000" w:type="dxa"/>
            <w:gridSpan w:val="6"/>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公开07表</w:t>
            </w:r>
          </w:p>
        </w:tc>
      </w:tr>
      <w:tr>
        <w:tblPrEx>
          <w:tblCellMar>
            <w:top w:w="0" w:type="dxa"/>
            <w:left w:w="108" w:type="dxa"/>
            <w:bottom w:w="0" w:type="dxa"/>
            <w:right w:w="108" w:type="dxa"/>
          </w:tblCellMar>
        </w:tblPrEx>
        <w:trPr>
          <w:trHeight w:val="300" w:hRule="atLeast"/>
        </w:trPr>
        <w:tc>
          <w:tcPr>
            <w:tcW w:w="4662" w:type="dxa"/>
            <w:gridSpan w:val="4"/>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3495"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2020年度</w:t>
            </w:r>
          </w:p>
        </w:tc>
        <w:tc>
          <w:tcPr>
            <w:tcW w:w="5836" w:type="dxa"/>
            <w:gridSpan w:val="5"/>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6993"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7000"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r>
      <w:tr>
        <w:tblPrEx>
          <w:tblCellMar>
            <w:top w:w="0" w:type="dxa"/>
            <w:left w:w="108" w:type="dxa"/>
            <w:bottom w:w="0" w:type="dxa"/>
            <w:right w:w="108" w:type="dxa"/>
          </w:tblCellMar>
        </w:tblPrEx>
        <w:trPr>
          <w:trHeight w:val="300" w:hRule="atLeast"/>
        </w:trPr>
        <w:tc>
          <w:tcPr>
            <w:tcW w:w="116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6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349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公务用车购置及运行费</w:t>
            </w:r>
          </w:p>
        </w:tc>
        <w:tc>
          <w:tcPr>
            <w:tcW w:w="116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16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6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349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公务用车购置及运行费</w:t>
            </w:r>
          </w:p>
        </w:tc>
        <w:tc>
          <w:tcPr>
            <w:tcW w:w="117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r>
      <w:tr>
        <w:tblPrEx>
          <w:tblCellMar>
            <w:top w:w="0" w:type="dxa"/>
            <w:left w:w="108" w:type="dxa"/>
            <w:bottom w:w="0" w:type="dxa"/>
            <w:right w:w="108" w:type="dxa"/>
          </w:tblCellMar>
        </w:tblPrEx>
        <w:trPr>
          <w:trHeight w:val="600" w:hRule="atLeast"/>
        </w:trPr>
        <w:tc>
          <w:tcPr>
            <w:tcW w:w="116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6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公务用车购置费</w:t>
            </w:r>
          </w:p>
        </w:tc>
        <w:tc>
          <w:tcPr>
            <w:tcW w:w="11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公务用车运行费</w:t>
            </w:r>
          </w:p>
        </w:tc>
        <w:tc>
          <w:tcPr>
            <w:tcW w:w="11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6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6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1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1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公务用车购置费</w:t>
            </w:r>
          </w:p>
        </w:tc>
        <w:tc>
          <w:tcPr>
            <w:tcW w:w="11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公务用车运行费</w:t>
            </w:r>
          </w:p>
        </w:tc>
        <w:tc>
          <w:tcPr>
            <w:tcW w:w="11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16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6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6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17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tblPrEx>
          <w:tblCellMar>
            <w:top w:w="0" w:type="dxa"/>
            <w:left w:w="108" w:type="dxa"/>
            <w:bottom w:w="0" w:type="dxa"/>
            <w:right w:w="108" w:type="dxa"/>
          </w:tblCellMar>
        </w:tblPrEx>
        <w:trPr>
          <w:trHeight w:val="300" w:hRule="atLeast"/>
        </w:trPr>
        <w:tc>
          <w:tcPr>
            <w:tcW w:w="116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1170"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116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5.47</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5.28</w:t>
            </w:r>
          </w:p>
        </w:tc>
        <w:tc>
          <w:tcPr>
            <w:tcW w:w="116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1168"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5.28</w:t>
            </w:r>
          </w:p>
        </w:tc>
        <w:tc>
          <w:tcPr>
            <w:tcW w:w="1176"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0.20</w:t>
            </w:r>
          </w:p>
        </w:tc>
      </w:tr>
      <w:tr>
        <w:tblPrEx>
          <w:tblCellMar>
            <w:top w:w="0" w:type="dxa"/>
            <w:left w:w="108" w:type="dxa"/>
            <w:bottom w:w="0" w:type="dxa"/>
            <w:right w:w="108" w:type="dxa"/>
          </w:tblCellMar>
        </w:tblPrEx>
        <w:trPr>
          <w:trHeight w:val="600" w:hRule="atLeast"/>
        </w:trPr>
        <w:tc>
          <w:tcPr>
            <w:tcW w:w="13993" w:type="dxa"/>
            <w:gridSpan w:val="1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注：本表反映部门本年度“三公”经费支出预决算情况。其中，预算数为“三公”经费年初预算数；决算数是包括当年一般公共预算财政拨款和以前年度结转资金安排的实际支出。</w:t>
            </w:r>
          </w:p>
        </w:tc>
      </w:tr>
    </w:tbl>
    <w:p>
      <w:pPr>
        <w:rPr>
          <w:rFonts w:hint="eastAsia" w:ascii="仿宋_GB2312" w:hAnsi="仿宋_GB2312" w:eastAsia="仿宋_GB2312" w:cs="仿宋_GB2312"/>
          <w:sz w:val="32"/>
          <w:szCs w:val="32"/>
        </w:rPr>
        <w:sectPr>
          <w:pgSz w:w="16838" w:h="11906" w:orient="landscape"/>
          <w:pgMar w:top="2098" w:right="1474" w:bottom="1984" w:left="1587" w:header="720" w:footer="720" w:gutter="0"/>
          <w:pgNumType w:fmt="numberInDash"/>
          <w:cols w:space="720"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1944"/>
        <w:gridCol w:w="1621"/>
        <w:gridCol w:w="2254"/>
        <w:gridCol w:w="1667"/>
        <w:gridCol w:w="1667"/>
        <w:gridCol w:w="843"/>
        <w:gridCol w:w="824"/>
        <w:gridCol w:w="1673"/>
        <w:gridCol w:w="1681"/>
      </w:tblGrid>
      <w:tr>
        <w:tblPrEx>
          <w:tblCellMar>
            <w:top w:w="0" w:type="dxa"/>
            <w:left w:w="108" w:type="dxa"/>
            <w:bottom w:w="0" w:type="dxa"/>
            <w:right w:w="108" w:type="dxa"/>
          </w:tblCellMar>
        </w:tblPrEx>
        <w:trPr>
          <w:trHeight w:val="375"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公开08表</w:t>
            </w:r>
          </w:p>
        </w:tc>
      </w:tr>
      <w:tr>
        <w:tblPrEx>
          <w:tblCellMar>
            <w:top w:w="0" w:type="dxa"/>
            <w:left w:w="108" w:type="dxa"/>
            <w:bottom w:w="0" w:type="dxa"/>
            <w:right w:w="108" w:type="dxa"/>
          </w:tblCellMar>
        </w:tblPrEx>
        <w:trPr>
          <w:trHeight w:val="300" w:hRule="atLeast"/>
        </w:trPr>
        <w:tc>
          <w:tcPr>
            <w:tcW w:w="3565" w:type="dxa"/>
            <w:gridSpan w:val="2"/>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部门：濮阳市科学技术协会</w:t>
            </w:r>
          </w:p>
        </w:tc>
        <w:tc>
          <w:tcPr>
            <w:tcW w:w="6431" w:type="dxa"/>
            <w:gridSpan w:val="4"/>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2020年度</w:t>
            </w:r>
          </w:p>
        </w:tc>
        <w:tc>
          <w:tcPr>
            <w:tcW w:w="4178" w:type="dxa"/>
            <w:gridSpan w:val="3"/>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金额单位：万元</w:t>
            </w:r>
          </w:p>
        </w:tc>
      </w:tr>
      <w:tr>
        <w:tblPrEx>
          <w:tblCellMar>
            <w:top w:w="0" w:type="dxa"/>
            <w:left w:w="108" w:type="dxa"/>
            <w:bottom w:w="0" w:type="dxa"/>
            <w:right w:w="108" w:type="dxa"/>
          </w:tblCellMar>
        </w:tblPrEx>
        <w:trPr>
          <w:trHeight w:val="300" w:hRule="atLeast"/>
        </w:trPr>
        <w:tc>
          <w:tcPr>
            <w:tcW w:w="35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225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年初结转和结余</w:t>
            </w:r>
          </w:p>
        </w:tc>
        <w:tc>
          <w:tcPr>
            <w:tcW w:w="166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w:t>
            </w:r>
          </w:p>
        </w:tc>
        <w:tc>
          <w:tcPr>
            <w:tcW w:w="5007"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w:t>
            </w:r>
          </w:p>
        </w:tc>
        <w:tc>
          <w:tcPr>
            <w:tcW w:w="168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年末结转和结余</w:t>
            </w:r>
          </w:p>
        </w:tc>
      </w:tr>
      <w:tr>
        <w:tblPrEx>
          <w:tblCellMar>
            <w:top w:w="0" w:type="dxa"/>
            <w:left w:w="108" w:type="dxa"/>
            <w:bottom w:w="0" w:type="dxa"/>
            <w:right w:w="108" w:type="dxa"/>
          </w:tblCellMar>
        </w:tblPrEx>
        <w:trPr>
          <w:trHeight w:val="300" w:hRule="atLeast"/>
        </w:trPr>
        <w:tc>
          <w:tcPr>
            <w:tcW w:w="194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功能分类科目编码</w:t>
            </w:r>
          </w:p>
        </w:tc>
        <w:tc>
          <w:tcPr>
            <w:tcW w:w="162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225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667"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6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c>
          <w:tcPr>
            <w:tcW w:w="168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4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2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5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8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4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2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225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67" w:type="dxa"/>
            <w:gridSpan w:val="2"/>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c>
          <w:tcPr>
            <w:tcW w:w="168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3565"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2254"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6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67"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67" w:type="dxa"/>
            <w:gridSpan w:val="2"/>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73"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81" w:type="dxa"/>
            <w:tcBorders>
              <w:top w:val="nil"/>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CellMar>
            <w:top w:w="0" w:type="dxa"/>
            <w:left w:w="108" w:type="dxa"/>
            <w:bottom w:w="0" w:type="dxa"/>
            <w:right w:w="108" w:type="dxa"/>
          </w:tblCellMar>
        </w:tblPrEx>
        <w:trPr>
          <w:trHeight w:val="300" w:hRule="atLeast"/>
        </w:trPr>
        <w:tc>
          <w:tcPr>
            <w:tcW w:w="3565" w:type="dxa"/>
            <w:gridSpan w:val="2"/>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25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667"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667"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667" w:type="dxa"/>
            <w:gridSpan w:val="2"/>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67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c>
          <w:tcPr>
            <w:tcW w:w="168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944" w:type="dxa"/>
            <w:tcBorders>
              <w:top w:val="nil"/>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62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2254"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7"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7"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67" w:type="dxa"/>
            <w:gridSpan w:val="2"/>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73"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1681" w:type="dxa"/>
            <w:tcBorders>
              <w:top w:val="nil"/>
              <w:left w:val="nil"/>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00" w:hRule="atLeast"/>
        </w:trPr>
        <w:tc>
          <w:tcPr>
            <w:tcW w:w="14174" w:type="dxa"/>
            <w:gridSpan w:val="9"/>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注：本表反映部门本年度政府性基金预算财政拨款收入、支出及结转和结余情况。</w:t>
            </w:r>
          </w:p>
        </w:tc>
      </w:tr>
    </w:tbl>
    <w:p>
      <w:pPr>
        <w:jc w:val="center"/>
        <w:rPr>
          <w:rFonts w:hint="eastAsia" w:ascii="仿宋_GB2312" w:hAnsi="仿宋_GB2312" w:eastAsia="仿宋_GB2312" w:cs="仿宋_GB2312"/>
          <w:sz w:val="32"/>
          <w:szCs w:val="32"/>
          <w:highlight w:val="yellow"/>
        </w:rPr>
        <w:sectPr>
          <w:pgSz w:w="16838" w:h="11906" w:orient="landscape"/>
          <w:pgMar w:top="1800" w:right="1440" w:bottom="1800" w:left="1440" w:header="720" w:footer="720" w:gutter="0"/>
          <w:pgNumType w:fmt="numberInDash"/>
          <w:cols w:space="720" w:num="1"/>
          <w:docGrid w:type="lines" w:linePitch="312" w:charSpace="0"/>
        </w:sectPr>
      </w:pPr>
      <w:r>
        <w:rPr>
          <w:rFonts w:hint="eastAsia" w:ascii="仿宋_GB2312" w:hAnsi="仿宋_GB2312" w:eastAsia="仿宋_GB2312" w:cs="仿宋_GB2312"/>
          <w:sz w:val="32"/>
          <w:szCs w:val="32"/>
          <w:highlight w:val="yellow"/>
        </w:rPr>
        <w:t>说明：我部门没有政府性基金收入，也没有使用政府性基金安排的支出，故本表无数据。</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第三部分  20</w:t>
      </w:r>
      <w:r>
        <w:rPr>
          <w:rFonts w:hint="eastAsia" w:ascii="黑体" w:hAnsi="黑体" w:eastAsia="黑体" w:cs="黑体"/>
          <w:sz w:val="48"/>
          <w:szCs w:val="48"/>
          <w:lang w:val="en-US" w:eastAsia="zh-CN"/>
        </w:rPr>
        <w:t>20</w:t>
      </w:r>
      <w:r>
        <w:rPr>
          <w:rFonts w:hint="eastAsia" w:ascii="黑体" w:hAnsi="黑体" w:eastAsia="黑体" w:cs="黑体"/>
          <w:sz w:val="48"/>
          <w:szCs w:val="48"/>
        </w:rPr>
        <w:t>年度部门决算情况说明</w:t>
      </w:r>
    </w:p>
    <w:p>
      <w:pPr>
        <w:widowControl/>
        <w:jc w:val="left"/>
        <w:rPr>
          <w:rFonts w:hint="eastAsia"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一、收入支出决算总体情况说明</w:t>
      </w:r>
    </w:p>
    <w:p>
      <w:pPr>
        <w:widowControl/>
        <w:spacing w:line="59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年度收、支总计均为913.23万元。与上年度相比，收、支总计各增加27.38万元，增长3.09%。主要原因是</w:t>
      </w:r>
      <w:r>
        <w:rPr>
          <w:rFonts w:hint="eastAsia" w:ascii="仿宋_GB2312" w:hAnsi="仿宋_GB2312" w:eastAsia="仿宋_GB2312" w:cs="仿宋_GB2312"/>
          <w:sz w:val="32"/>
          <w:szCs w:val="32"/>
          <w:lang w:eastAsia="zh-CN"/>
        </w:rPr>
        <w:t>项目较往年资金有所增加</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二、收入决算情况说明</w:t>
      </w:r>
    </w:p>
    <w:p>
      <w:pPr>
        <w:widowControl/>
        <w:spacing w:line="59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年度收入合计665.06万元，其中：财政拨款收入645.06万元，占96.99%；其他收入20.00万元，占</w:t>
      </w:r>
      <w:r>
        <w:rPr>
          <w:rFonts w:hint="eastAsia" w:ascii="仿宋_GB2312" w:hAnsi="仿宋_GB2312" w:eastAsia="仿宋_GB2312" w:cs="仿宋_GB2312"/>
          <w:sz w:val="32"/>
          <w:szCs w:val="32"/>
          <w:lang w:val="en-US" w:eastAsia="zh-CN"/>
        </w:rPr>
        <w:t>3.01</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三、支出决算情况说明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年度支出合计758.30万元，其中：基本支出360.96万元，占47.60%；项目支出397.34万元，占52.40%。</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四、财政拨款收入支出决算总体情况说明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年度财政拨款收、支总计均为893.23万元。与上年度相比，财政拨款收、支总计各增加7.38万元，增长0.83%。主要原因是</w:t>
      </w:r>
      <w:r>
        <w:rPr>
          <w:rFonts w:hint="eastAsia" w:ascii="仿宋_GB2312" w:hAnsi="仿宋_GB2312" w:eastAsia="仿宋_GB2312" w:cs="仿宋_GB2312"/>
          <w:sz w:val="32"/>
          <w:szCs w:val="32"/>
          <w:lang w:eastAsia="zh-CN"/>
        </w:rPr>
        <w:t>项目较往年资金有所增加</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五、一般公共预算财政拨款支出决算情况说明</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年度一般公共预算财政拨款支出748.30万元，占本年支出合计的98.68%。与上年度相比，一般公共预算财政拨款支出增加110.62万元，增</w:t>
      </w:r>
      <w:r>
        <w:rPr>
          <w:rFonts w:hint="eastAsia" w:ascii="仿宋_GB2312" w:hAnsi="仿宋_GB2312" w:eastAsia="仿宋_GB2312" w:cs="仿宋_GB2312"/>
          <w:sz w:val="32"/>
          <w:szCs w:val="32"/>
          <w:lang w:eastAsia="zh-CN"/>
        </w:rPr>
        <w:t>加</w:t>
      </w:r>
      <w:r>
        <w:rPr>
          <w:rFonts w:hint="eastAsia" w:ascii="仿宋_GB2312" w:hAnsi="仿宋_GB2312" w:eastAsia="仿宋_GB2312" w:cs="仿宋_GB2312"/>
          <w:sz w:val="32"/>
          <w:szCs w:val="32"/>
        </w:rPr>
        <w:t>17.35%。主要原因是</w:t>
      </w:r>
      <w:r>
        <w:rPr>
          <w:rFonts w:hint="eastAsia" w:ascii="仿宋_GB2312" w:hAnsi="仿宋_GB2312" w:eastAsia="仿宋_GB2312" w:cs="仿宋_GB2312"/>
          <w:sz w:val="32"/>
          <w:szCs w:val="32"/>
          <w:lang w:eastAsia="zh-CN"/>
        </w:rPr>
        <w:t>项目较往年资金有所增加</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（二）结构情况。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年度一般公共预算财政拨款支出748.30万元，主要用于以下方面：</w:t>
      </w:r>
      <w:r>
        <w:rPr>
          <w:rFonts w:hint="eastAsia" w:ascii="仿宋_GB2312" w:hAnsi="仿宋_GB2312" w:eastAsia="仿宋_GB2312" w:cs="仿宋_GB2312"/>
          <w:sz w:val="32"/>
          <w:szCs w:val="32"/>
          <w:lang w:eastAsia="zh-CN"/>
        </w:rPr>
        <w:t>科学技术</w:t>
      </w:r>
      <w:r>
        <w:rPr>
          <w:rFonts w:hint="eastAsia" w:ascii="仿宋_GB2312" w:hAnsi="仿宋_GB2312" w:eastAsia="仿宋_GB2312" w:cs="仿宋_GB2312"/>
          <w:sz w:val="32"/>
          <w:szCs w:val="32"/>
        </w:rPr>
        <w:t>（类）支出</w:t>
      </w:r>
      <w:r>
        <w:rPr>
          <w:rFonts w:hint="eastAsia" w:ascii="仿宋_GB2312" w:hAnsi="仿宋_GB2312" w:eastAsia="仿宋_GB2312" w:cs="仿宋_GB2312"/>
          <w:sz w:val="32"/>
          <w:szCs w:val="32"/>
          <w:lang w:val="en-US" w:eastAsia="zh-CN"/>
        </w:rPr>
        <w:t>652.32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87.18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w:t>
      </w:r>
      <w:r>
        <w:rPr>
          <w:rFonts w:hint="eastAsia" w:ascii="仿宋_GB2312" w:hAnsi="仿宋_GB2312" w:eastAsia="仿宋_GB2312" w:cs="仿宋_GB2312"/>
          <w:sz w:val="32"/>
          <w:szCs w:val="32"/>
        </w:rPr>
        <w:t>（类）支出</w:t>
      </w:r>
      <w:r>
        <w:rPr>
          <w:rFonts w:hint="eastAsia" w:ascii="仿宋_GB2312" w:hAnsi="仿宋_GB2312" w:eastAsia="仿宋_GB2312" w:cs="仿宋_GB2312"/>
          <w:sz w:val="32"/>
          <w:szCs w:val="32"/>
          <w:lang w:val="en-US" w:eastAsia="zh-CN"/>
        </w:rPr>
        <w:t>88.33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11.8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卫生健康支出</w:t>
      </w:r>
      <w:r>
        <w:rPr>
          <w:rFonts w:hint="eastAsia" w:ascii="仿宋_GB2312" w:hAnsi="仿宋_GB2312" w:eastAsia="仿宋_GB2312" w:cs="仿宋_GB2312"/>
          <w:sz w:val="32"/>
          <w:szCs w:val="32"/>
          <w:lang w:val="en-US" w:eastAsia="zh-CN"/>
        </w:rPr>
        <w:t>7.65万元，占1.02%</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（三）具体情况。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年度一般公共预算财政拨款支出年初预算为645.00万元，支出决算为748.30万元，完成年初预算的116.01%。其中：</w:t>
      </w:r>
    </w:p>
    <w:p>
      <w:pPr>
        <w:widowControl/>
        <w:spacing w:line="590" w:lineRule="exact"/>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科学技术支出</w:t>
      </w:r>
      <w:r>
        <w:rPr>
          <w:rFonts w:hint="eastAsia" w:ascii="仿宋_GB2312" w:hAnsi="仿宋_GB2312" w:eastAsia="仿宋_GB2312" w:cs="仿宋_GB2312"/>
          <w:b/>
          <w:bCs/>
          <w:sz w:val="32"/>
          <w:szCs w:val="32"/>
        </w:rPr>
        <w:t>（类）</w:t>
      </w:r>
      <w:r>
        <w:rPr>
          <w:rFonts w:hint="eastAsia" w:ascii="仿宋_GB2312" w:hAnsi="仿宋_GB2312" w:eastAsia="仿宋_GB2312" w:cs="仿宋_GB2312"/>
          <w:b/>
          <w:bCs/>
          <w:sz w:val="32"/>
          <w:szCs w:val="32"/>
          <w:lang w:eastAsia="zh-CN"/>
        </w:rPr>
        <w:t>科学技术管理事务支出</w:t>
      </w:r>
      <w:r>
        <w:rPr>
          <w:rFonts w:hint="eastAsia" w:ascii="仿宋_GB2312" w:hAnsi="仿宋_GB2312" w:eastAsia="仿宋_GB2312" w:cs="仿宋_GB2312"/>
          <w:b/>
          <w:bCs/>
          <w:sz w:val="32"/>
          <w:szCs w:val="32"/>
        </w:rPr>
        <w:t>（款）</w:t>
      </w:r>
      <w:r>
        <w:rPr>
          <w:rFonts w:hint="eastAsia" w:ascii="仿宋_GB2312" w:hAnsi="仿宋_GB2312" w:eastAsia="仿宋_GB2312" w:cs="仿宋_GB2312"/>
          <w:b/>
          <w:bCs/>
          <w:sz w:val="32"/>
          <w:szCs w:val="32"/>
          <w:lang w:eastAsia="zh-CN"/>
        </w:rPr>
        <w:t>其他科学技术管理事务支出</w:t>
      </w:r>
      <w:r>
        <w:rPr>
          <w:rFonts w:hint="eastAsia" w:ascii="仿宋_GB2312" w:hAnsi="仿宋_GB2312" w:eastAsia="仿宋_GB2312" w:cs="仿宋_GB2312"/>
          <w:b/>
          <w:bCs/>
          <w:sz w:val="32"/>
          <w:szCs w:val="32"/>
        </w:rPr>
        <w:t>（项）。</w:t>
      </w:r>
      <w:r>
        <w:rPr>
          <w:rFonts w:hint="eastAsia" w:ascii="仿宋_GB2312" w:hAnsi="仿宋_GB2312" w:eastAsia="仿宋_GB2312" w:cs="仿宋_GB2312"/>
          <w:sz w:val="32"/>
          <w:szCs w:val="32"/>
          <w:highlight w:val="none"/>
        </w:rPr>
        <w:t>年初预算为</w:t>
      </w:r>
      <w:r>
        <w:rPr>
          <w:rFonts w:hint="eastAsia" w:ascii="仿宋_GB2312" w:hAnsi="仿宋_GB2312" w:eastAsia="仿宋_GB2312" w:cs="仿宋_GB2312"/>
          <w:sz w:val="32"/>
          <w:szCs w:val="32"/>
          <w:highlight w:val="none"/>
          <w:lang w:val="en-US" w:eastAsia="zh-CN"/>
        </w:rPr>
        <w:t>24.04</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24.04</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eastAsia="zh-CN"/>
        </w:rPr>
        <w:t>无差异。</w:t>
      </w:r>
    </w:p>
    <w:p>
      <w:pPr>
        <w:widowControl/>
        <w:spacing w:line="590" w:lineRule="exact"/>
        <w:ind w:firstLine="643"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eastAsia="zh-CN"/>
        </w:rPr>
        <w:t>科学技术支出</w:t>
      </w:r>
      <w:r>
        <w:rPr>
          <w:rFonts w:hint="eastAsia" w:ascii="仿宋_GB2312" w:hAnsi="仿宋_GB2312" w:eastAsia="仿宋_GB2312" w:cs="仿宋_GB2312"/>
          <w:b/>
          <w:bCs/>
          <w:sz w:val="32"/>
          <w:szCs w:val="32"/>
        </w:rPr>
        <w:t>（类）</w:t>
      </w:r>
      <w:r>
        <w:rPr>
          <w:rFonts w:hint="eastAsia" w:ascii="仿宋_GB2312" w:hAnsi="仿宋_GB2312" w:eastAsia="仿宋_GB2312" w:cs="仿宋_GB2312"/>
          <w:b/>
          <w:bCs/>
          <w:sz w:val="32"/>
          <w:szCs w:val="32"/>
          <w:lang w:eastAsia="zh-CN"/>
        </w:rPr>
        <w:t>科学技术普及</w:t>
      </w:r>
      <w:r>
        <w:rPr>
          <w:rFonts w:hint="eastAsia" w:ascii="仿宋_GB2312" w:hAnsi="仿宋_GB2312" w:eastAsia="仿宋_GB2312" w:cs="仿宋_GB2312"/>
          <w:b/>
          <w:bCs/>
          <w:sz w:val="32"/>
          <w:szCs w:val="32"/>
        </w:rPr>
        <w:t>（款）</w:t>
      </w:r>
      <w:r>
        <w:rPr>
          <w:rFonts w:hint="eastAsia" w:ascii="仿宋_GB2312" w:hAnsi="仿宋_GB2312" w:eastAsia="仿宋_GB2312" w:cs="仿宋_GB2312"/>
          <w:b/>
          <w:bCs/>
          <w:sz w:val="32"/>
          <w:szCs w:val="32"/>
          <w:lang w:eastAsia="zh-CN"/>
        </w:rPr>
        <w:t>机构运行</w:t>
      </w:r>
      <w:r>
        <w:rPr>
          <w:rFonts w:hint="eastAsia" w:ascii="仿宋_GB2312" w:hAnsi="仿宋_GB2312" w:eastAsia="仿宋_GB2312" w:cs="仿宋_GB2312"/>
          <w:b/>
          <w:bCs/>
          <w:sz w:val="32"/>
          <w:szCs w:val="32"/>
        </w:rPr>
        <w:t>（项）。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264.91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264.98</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100.03</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上年度部分款项在本年度进行支出</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科学技术支出</w:t>
      </w:r>
      <w:r>
        <w:rPr>
          <w:rFonts w:hint="eastAsia" w:ascii="仿宋_GB2312" w:hAnsi="仿宋_GB2312" w:eastAsia="仿宋_GB2312" w:cs="仿宋_GB2312"/>
          <w:b/>
          <w:bCs/>
          <w:sz w:val="32"/>
          <w:szCs w:val="32"/>
        </w:rPr>
        <w:t>（类）</w:t>
      </w:r>
      <w:r>
        <w:rPr>
          <w:rFonts w:hint="eastAsia" w:ascii="仿宋_GB2312" w:hAnsi="仿宋_GB2312" w:eastAsia="仿宋_GB2312" w:cs="仿宋_GB2312"/>
          <w:b/>
          <w:bCs/>
          <w:sz w:val="32"/>
          <w:szCs w:val="32"/>
          <w:lang w:eastAsia="zh-CN"/>
        </w:rPr>
        <w:t>科学技术普及</w:t>
      </w:r>
      <w:r>
        <w:rPr>
          <w:rFonts w:hint="eastAsia" w:ascii="仿宋_GB2312" w:hAnsi="仿宋_GB2312" w:eastAsia="仿宋_GB2312" w:cs="仿宋_GB2312"/>
          <w:b/>
          <w:bCs/>
          <w:sz w:val="32"/>
          <w:szCs w:val="32"/>
        </w:rPr>
        <w:t>（款）</w:t>
      </w:r>
      <w:r>
        <w:rPr>
          <w:rFonts w:hint="eastAsia" w:ascii="仿宋_GB2312" w:hAnsi="仿宋_GB2312" w:eastAsia="仿宋_GB2312" w:cs="仿宋_GB2312"/>
          <w:b/>
          <w:bCs/>
          <w:sz w:val="32"/>
          <w:szCs w:val="32"/>
          <w:lang w:eastAsia="zh-CN"/>
        </w:rPr>
        <w:t>科普活动</w:t>
      </w:r>
      <w:r>
        <w:rPr>
          <w:rFonts w:hint="eastAsia" w:ascii="仿宋_GB2312" w:hAnsi="仿宋_GB2312" w:eastAsia="仿宋_GB2312" w:cs="仿宋_GB2312"/>
          <w:b/>
          <w:bCs/>
          <w:sz w:val="32"/>
          <w:szCs w:val="32"/>
        </w:rPr>
        <w:t>（项）。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130.5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305.80</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234.32</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上年度部分项目款项在本年度进行支出</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科学技术支出</w:t>
      </w:r>
      <w:r>
        <w:rPr>
          <w:rFonts w:hint="eastAsia" w:ascii="仿宋_GB2312" w:hAnsi="仿宋_GB2312" w:eastAsia="仿宋_GB2312" w:cs="仿宋_GB2312"/>
          <w:b/>
          <w:bCs/>
          <w:sz w:val="32"/>
          <w:szCs w:val="32"/>
        </w:rPr>
        <w:t>（类）</w:t>
      </w:r>
      <w:r>
        <w:rPr>
          <w:rFonts w:hint="eastAsia" w:ascii="仿宋_GB2312" w:hAnsi="仿宋_GB2312" w:eastAsia="仿宋_GB2312" w:cs="仿宋_GB2312"/>
          <w:b/>
          <w:bCs/>
          <w:sz w:val="32"/>
          <w:szCs w:val="32"/>
          <w:lang w:eastAsia="zh-CN"/>
        </w:rPr>
        <w:t>科学技术普及</w:t>
      </w:r>
      <w:r>
        <w:rPr>
          <w:rFonts w:hint="eastAsia" w:ascii="仿宋_GB2312" w:hAnsi="仿宋_GB2312" w:eastAsia="仿宋_GB2312" w:cs="仿宋_GB2312"/>
          <w:b/>
          <w:bCs/>
          <w:sz w:val="32"/>
          <w:szCs w:val="32"/>
        </w:rPr>
        <w:t>（款）</w:t>
      </w:r>
      <w:bookmarkStart w:id="0" w:name="_GoBack"/>
      <w:bookmarkEnd w:id="0"/>
      <w:r>
        <w:rPr>
          <w:rFonts w:hint="eastAsia" w:ascii="仿宋_GB2312" w:hAnsi="仿宋_GB2312" w:eastAsia="仿宋_GB2312" w:cs="仿宋_GB2312"/>
          <w:b/>
          <w:bCs/>
          <w:sz w:val="32"/>
          <w:szCs w:val="32"/>
          <w:lang w:eastAsia="zh-CN"/>
        </w:rPr>
        <w:t>学术交流活动</w:t>
      </w:r>
      <w:r>
        <w:rPr>
          <w:rFonts w:hint="eastAsia" w:ascii="仿宋_GB2312" w:hAnsi="仿宋_GB2312" w:eastAsia="仿宋_GB2312" w:cs="仿宋_GB2312"/>
          <w:b/>
          <w:bCs/>
          <w:sz w:val="32"/>
          <w:szCs w:val="32"/>
        </w:rPr>
        <w:t>（项）。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12.5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43.2</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项目资金拨付较晚，未及时支出</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科学技术支出</w:t>
      </w:r>
      <w:r>
        <w:rPr>
          <w:rFonts w:hint="eastAsia" w:ascii="仿宋_GB2312" w:hAnsi="仿宋_GB2312" w:eastAsia="仿宋_GB2312" w:cs="仿宋_GB2312"/>
          <w:b/>
          <w:bCs/>
          <w:sz w:val="32"/>
          <w:szCs w:val="32"/>
        </w:rPr>
        <w:t>（类）</w:t>
      </w:r>
      <w:r>
        <w:rPr>
          <w:rFonts w:hint="eastAsia" w:ascii="仿宋_GB2312" w:hAnsi="仿宋_GB2312" w:eastAsia="仿宋_GB2312" w:cs="仿宋_GB2312"/>
          <w:b/>
          <w:bCs/>
          <w:sz w:val="32"/>
          <w:szCs w:val="32"/>
          <w:lang w:eastAsia="zh-CN"/>
        </w:rPr>
        <w:t>科学技术普及</w:t>
      </w:r>
      <w:r>
        <w:rPr>
          <w:rFonts w:hint="eastAsia" w:ascii="仿宋_GB2312" w:hAnsi="仿宋_GB2312" w:eastAsia="仿宋_GB2312" w:cs="仿宋_GB2312"/>
          <w:b/>
          <w:bCs/>
          <w:sz w:val="32"/>
          <w:szCs w:val="32"/>
        </w:rPr>
        <w:t>（款）</w:t>
      </w:r>
      <w:r>
        <w:rPr>
          <w:rFonts w:hint="eastAsia" w:ascii="仿宋_GB2312" w:hAnsi="仿宋_GB2312" w:eastAsia="仿宋_GB2312" w:cs="仿宋_GB2312"/>
          <w:b/>
          <w:bCs/>
          <w:sz w:val="32"/>
          <w:szCs w:val="32"/>
          <w:lang w:eastAsia="zh-CN"/>
        </w:rPr>
        <w:t>其他科学技术普及支出</w:t>
      </w:r>
      <w:r>
        <w:rPr>
          <w:rFonts w:hint="eastAsia" w:ascii="仿宋_GB2312" w:hAnsi="仿宋_GB2312" w:eastAsia="仿宋_GB2312" w:cs="仿宋_GB2312"/>
          <w:b/>
          <w:bCs/>
          <w:sz w:val="32"/>
          <w:szCs w:val="32"/>
        </w:rPr>
        <w:t>（项）。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118.1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8.1</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6.86</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项目资金拨付较晚，未及时支出</w:t>
      </w:r>
      <w:r>
        <w:rPr>
          <w:rFonts w:hint="eastAsia" w:ascii="仿宋_GB2312" w:hAnsi="仿宋_GB2312" w:eastAsia="仿宋_GB2312" w:cs="仿宋_GB2312"/>
          <w:sz w:val="32"/>
          <w:szCs w:val="32"/>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科学技术支出</w:t>
      </w:r>
      <w:r>
        <w:rPr>
          <w:rFonts w:hint="eastAsia" w:ascii="仿宋_GB2312" w:hAnsi="仿宋_GB2312" w:eastAsia="仿宋_GB2312" w:cs="仿宋_GB2312"/>
          <w:b/>
          <w:bCs/>
          <w:sz w:val="32"/>
          <w:szCs w:val="32"/>
        </w:rPr>
        <w:t>（类）</w:t>
      </w:r>
      <w:r>
        <w:rPr>
          <w:rFonts w:hint="eastAsia" w:ascii="仿宋_GB2312" w:hAnsi="仿宋_GB2312" w:eastAsia="仿宋_GB2312" w:cs="仿宋_GB2312"/>
          <w:b/>
          <w:bCs/>
          <w:sz w:val="32"/>
          <w:szCs w:val="32"/>
          <w:lang w:eastAsia="zh-CN"/>
        </w:rPr>
        <w:t>其他科学技术支出</w:t>
      </w:r>
      <w:r>
        <w:rPr>
          <w:rFonts w:hint="eastAsia" w:ascii="仿宋_GB2312" w:hAnsi="仿宋_GB2312" w:eastAsia="仿宋_GB2312" w:cs="仿宋_GB2312"/>
          <w:b/>
          <w:bCs/>
          <w:sz w:val="32"/>
          <w:szCs w:val="32"/>
        </w:rPr>
        <w:t>（款）</w:t>
      </w:r>
      <w:r>
        <w:rPr>
          <w:rFonts w:hint="eastAsia" w:ascii="仿宋_GB2312" w:hAnsi="仿宋_GB2312" w:eastAsia="仿宋_GB2312" w:cs="仿宋_GB2312"/>
          <w:b/>
          <w:bCs/>
          <w:sz w:val="32"/>
          <w:szCs w:val="32"/>
          <w:lang w:eastAsia="zh-CN"/>
        </w:rPr>
        <w:t>科技奖励</w:t>
      </w:r>
      <w:r>
        <w:rPr>
          <w:rFonts w:hint="eastAsia" w:ascii="仿宋_GB2312" w:hAnsi="仿宋_GB2312" w:eastAsia="仿宋_GB2312" w:cs="仿宋_GB2312"/>
          <w:b/>
          <w:bCs/>
          <w:sz w:val="32"/>
          <w:szCs w:val="32"/>
        </w:rPr>
        <w:t>（项）。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44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191.3</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上年度部分项目款项在本年度进行支出</w:t>
      </w:r>
      <w:r>
        <w:rPr>
          <w:rFonts w:hint="eastAsia" w:ascii="仿宋_GB2312" w:hAnsi="仿宋_GB2312" w:eastAsia="仿宋_GB2312" w:cs="仿宋_GB2312"/>
          <w:sz w:val="32"/>
          <w:szCs w:val="32"/>
        </w:rPr>
        <w:t>。</w:t>
      </w:r>
    </w:p>
    <w:p>
      <w:pPr>
        <w:widowControl/>
        <w:spacing w:line="590" w:lineRule="exact"/>
        <w:ind w:firstLine="643"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．社会保障和就业支出（类）行政事业单位养老支出（款）</w:t>
      </w:r>
      <w:r>
        <w:rPr>
          <w:rFonts w:hint="eastAsia" w:ascii="仿宋_GB2312" w:hAnsi="仿宋_GB2312" w:eastAsia="仿宋_GB2312" w:cs="仿宋_GB2312"/>
          <w:b/>
          <w:bCs/>
          <w:sz w:val="32"/>
          <w:szCs w:val="32"/>
          <w:lang w:eastAsia="zh-CN"/>
        </w:rPr>
        <w:t>行政</w:t>
      </w:r>
      <w:r>
        <w:rPr>
          <w:rFonts w:hint="eastAsia" w:ascii="仿宋_GB2312" w:hAnsi="仿宋_GB2312" w:eastAsia="仿宋_GB2312" w:cs="仿宋_GB2312"/>
          <w:b/>
          <w:bCs/>
          <w:sz w:val="32"/>
          <w:szCs w:val="32"/>
        </w:rPr>
        <w:t>单位离退休（项）。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63.1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63.1</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差异。</w:t>
      </w:r>
    </w:p>
    <w:p>
      <w:pPr>
        <w:widowControl/>
        <w:spacing w:line="590" w:lineRule="exact"/>
        <w:ind w:firstLine="643"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．社会保障和就业支出（类）行政事业单位养老支出（款）</w:t>
      </w:r>
      <w:r>
        <w:rPr>
          <w:rFonts w:hint="eastAsia" w:ascii="仿宋_GB2312" w:hAnsi="仿宋_GB2312" w:eastAsia="仿宋_GB2312" w:cs="仿宋_GB2312"/>
          <w:b/>
          <w:bCs/>
          <w:sz w:val="32"/>
          <w:szCs w:val="32"/>
          <w:lang w:eastAsia="zh-CN"/>
        </w:rPr>
        <w:t>事业</w:t>
      </w:r>
      <w:r>
        <w:rPr>
          <w:rFonts w:hint="eastAsia" w:ascii="仿宋_GB2312" w:hAnsi="仿宋_GB2312" w:eastAsia="仿宋_GB2312" w:cs="仿宋_GB2312"/>
          <w:b/>
          <w:bCs/>
          <w:sz w:val="32"/>
          <w:szCs w:val="32"/>
        </w:rPr>
        <w:t>单位离退休（项）。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6.21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6.21</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差异。</w:t>
      </w:r>
    </w:p>
    <w:p>
      <w:pPr>
        <w:widowControl/>
        <w:spacing w:line="590" w:lineRule="exact"/>
        <w:ind w:firstLine="643"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．社会保障和就业支出（类）行政事业单位养老支出（款）机关事业单位基本养老保险缴费支出（项）。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19.03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19.03</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差异。</w:t>
      </w:r>
    </w:p>
    <w:p>
      <w:pPr>
        <w:widowControl/>
        <w:spacing w:line="590" w:lineRule="exact"/>
        <w:ind w:firstLine="643" w:firstLineChars="200"/>
        <w:outlineLvl w:val="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卫生健康支出（类）行政事业单位医疗（款）</w:t>
      </w:r>
      <w:r>
        <w:rPr>
          <w:rFonts w:hint="eastAsia" w:ascii="仿宋_GB2312" w:hAnsi="仿宋_GB2312" w:eastAsia="仿宋_GB2312" w:cs="仿宋_GB2312"/>
          <w:b/>
          <w:bCs/>
          <w:sz w:val="32"/>
          <w:szCs w:val="32"/>
          <w:lang w:eastAsia="zh-CN"/>
        </w:rPr>
        <w:t>行政</w:t>
      </w:r>
      <w:r>
        <w:rPr>
          <w:rFonts w:hint="eastAsia" w:ascii="仿宋_GB2312" w:hAnsi="仿宋_GB2312" w:eastAsia="仿宋_GB2312" w:cs="仿宋_GB2312"/>
          <w:b/>
          <w:bCs/>
          <w:sz w:val="32"/>
          <w:szCs w:val="32"/>
        </w:rPr>
        <w:t>单位医疗（项）。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7.65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7.65</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%。决算数与年初预算数</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差异。</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六、一般公共预算财政拨款基本支出决算情况说明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年度一般公共预算财政拨款基本支出360.96万元。</w:t>
      </w:r>
      <w:r>
        <w:rPr>
          <w:rFonts w:hint="eastAsia" w:ascii="仿宋_GB2312" w:hAnsi="仿宋_GB2312" w:eastAsia="仿宋_GB2312" w:cs="仿宋_GB2312"/>
          <w:sz w:val="32"/>
          <w:szCs w:val="32"/>
          <w:highlight w:val="none"/>
        </w:rPr>
        <w:t>与上年度相比，增加</w:t>
      </w:r>
      <w:r>
        <w:rPr>
          <w:rFonts w:hint="eastAsia" w:ascii="仿宋_GB2312" w:hAnsi="仿宋_GB2312" w:eastAsia="仿宋_GB2312" w:cs="仿宋_GB2312"/>
          <w:sz w:val="32"/>
          <w:szCs w:val="32"/>
          <w:highlight w:val="none"/>
          <w:lang w:val="en-US" w:eastAsia="zh-CN"/>
        </w:rPr>
        <w:t>41.37</w:t>
      </w:r>
      <w:r>
        <w:rPr>
          <w:rFonts w:hint="eastAsia" w:ascii="仿宋_GB2312" w:hAnsi="仿宋_GB2312" w:eastAsia="仿宋_GB2312" w:cs="仿宋_GB2312"/>
          <w:sz w:val="32"/>
          <w:szCs w:val="32"/>
          <w:highlight w:val="none"/>
        </w:rPr>
        <w:t>万元，增长</w:t>
      </w:r>
      <w:r>
        <w:rPr>
          <w:rFonts w:hint="eastAsia" w:ascii="仿宋_GB2312" w:hAnsi="仿宋_GB2312" w:eastAsia="仿宋_GB2312" w:cs="仿宋_GB2312"/>
          <w:sz w:val="32"/>
          <w:szCs w:val="32"/>
          <w:highlight w:val="none"/>
          <w:lang w:val="en-US" w:eastAsia="zh-CN"/>
        </w:rPr>
        <w:t>12.94</w:t>
      </w:r>
      <w:r>
        <w:rPr>
          <w:rFonts w:hint="eastAsia" w:ascii="仿宋_GB2312" w:hAnsi="仿宋_GB2312" w:eastAsia="仿宋_GB2312" w:cs="仿宋_GB2312"/>
          <w:sz w:val="32"/>
          <w:szCs w:val="32"/>
          <w:highlight w:val="none"/>
        </w:rPr>
        <w:t>%，主要原因：</w:t>
      </w:r>
      <w:r>
        <w:rPr>
          <w:rFonts w:hint="eastAsia" w:ascii="仿宋_GB2312" w:hAnsi="仿宋_GB2312" w:eastAsia="仿宋_GB2312" w:cs="仿宋_GB2312"/>
          <w:sz w:val="32"/>
          <w:szCs w:val="32"/>
          <w:highlight w:val="none"/>
          <w:lang w:eastAsia="zh-CN"/>
        </w:rPr>
        <w:t>人员工资增加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其中：人员经费355.16万元，主要包括：基本工资、津贴补贴、</w:t>
      </w:r>
      <w:r>
        <w:rPr>
          <w:rFonts w:hint="eastAsia" w:ascii="仿宋_GB2312" w:hAnsi="仿宋_GB2312" w:eastAsia="仿宋_GB2312" w:cs="仿宋_GB2312"/>
          <w:sz w:val="32"/>
          <w:szCs w:val="32"/>
          <w:lang w:eastAsia="zh-CN"/>
        </w:rPr>
        <w:t>奖金、</w:t>
      </w:r>
      <w:r>
        <w:rPr>
          <w:rFonts w:hint="eastAsia" w:ascii="仿宋_GB2312" w:hAnsi="仿宋_GB2312" w:eastAsia="仿宋_GB2312" w:cs="仿宋_GB2312"/>
          <w:sz w:val="32"/>
          <w:szCs w:val="32"/>
        </w:rPr>
        <w:t>绩效工资、机关事业单位基本养老保险缴费、</w:t>
      </w:r>
      <w:r>
        <w:rPr>
          <w:rFonts w:hint="eastAsia" w:ascii="仿宋_GB2312" w:hAnsi="仿宋_GB2312" w:eastAsia="仿宋_GB2312" w:cs="仿宋_GB2312"/>
          <w:sz w:val="32"/>
          <w:szCs w:val="32"/>
          <w:lang w:eastAsia="zh-CN"/>
        </w:rPr>
        <w:t>职工基本医疗保险缴费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其他社会保障缴费、</w:t>
      </w:r>
      <w:r>
        <w:rPr>
          <w:rFonts w:hint="eastAsia" w:ascii="仿宋_GB2312" w:hAnsi="仿宋_GB2312" w:eastAsia="仿宋_GB2312" w:cs="仿宋_GB2312"/>
          <w:sz w:val="32"/>
          <w:szCs w:val="32"/>
        </w:rPr>
        <w:t>其他工资福利支出、退休费；公用经费5.80万元，主要包括：办公费、印刷费、邮电费、差旅费、维修（护）费、工会经费、福利费、公务用车运行维护费、其他交通费用、税金及附加费用、其他商品和服务支出。</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七、一般公共预算财政拨款“三公”经费支出决算情况说明</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年度“三公”经费财政拨款支出预算为6.50万元，支出决算为5.47万元，完成预算的84.23%。20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年度“三公”经费支出决算数与预算数存在差异的主要原因是</w:t>
      </w:r>
      <w:r>
        <w:rPr>
          <w:rFonts w:hint="eastAsia" w:ascii="仿宋_GB2312" w:hAnsi="仿宋_GB2312" w:eastAsia="仿宋_GB2312" w:cs="仿宋_GB2312"/>
          <w:sz w:val="32"/>
          <w:szCs w:val="32"/>
          <w:lang w:val="en-US" w:eastAsia="zh-CN"/>
        </w:rPr>
        <w:t>2020年疫情公务活动减少</w:t>
      </w:r>
      <w:r>
        <w:rPr>
          <w:rFonts w:hint="eastAsia" w:ascii="仿宋_GB2312" w:hAnsi="仿宋_GB2312" w:eastAsia="仿宋_GB2312" w:cs="仿宋_GB2312"/>
          <w:sz w:val="32"/>
          <w:szCs w:val="32"/>
        </w:rPr>
        <w:t>。</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三公”经费财政拨款支出决算中，因公出国（境）费支出决算0.00万元，完成预算的0.00%，占0.00%；公务用车购置及运行费支出决算5.28万元，完成预算的95.94%，占96.38%；公务接待费支出决算0.20万元，完成预算的19.84%，占3.62%。具体情况如下：</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1．因公出国（境）费</w:t>
      </w:r>
      <w:r>
        <w:rPr>
          <w:rFonts w:hint="eastAsia" w:ascii="仿宋_GB2312" w:hAnsi="仿宋_GB2312" w:eastAsia="仿宋_GB2312" w:cs="仿宋_GB2312"/>
          <w:sz w:val="32"/>
          <w:szCs w:val="32"/>
        </w:rPr>
        <w:t>预算为0.00万元，支出决算为0.00万元，完成年初预算的0.00%。决算数与年初预算数</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差异。</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2．公务用车购置及运行费</w:t>
      </w:r>
      <w:r>
        <w:rPr>
          <w:rFonts w:hint="eastAsia" w:ascii="仿宋_GB2312" w:hAnsi="仿宋_GB2312" w:eastAsia="仿宋_GB2312" w:cs="仿宋_GB2312"/>
          <w:sz w:val="32"/>
          <w:szCs w:val="32"/>
        </w:rPr>
        <w:t>预算为5.50万元，支出决算为5.28万元，完成预算的95.94%。支出决算数与预算数存在差异的主要原因是</w:t>
      </w:r>
      <w:r>
        <w:rPr>
          <w:rFonts w:hint="eastAsia" w:ascii="仿宋_GB2312" w:hAnsi="仿宋_GB2312" w:eastAsia="仿宋_GB2312" w:cs="仿宋_GB2312"/>
          <w:sz w:val="32"/>
          <w:szCs w:val="32"/>
          <w:lang w:val="en-US" w:eastAsia="zh-CN"/>
        </w:rPr>
        <w:t>2020年疫情公务活动减少</w:t>
      </w:r>
      <w:r>
        <w:rPr>
          <w:rFonts w:hint="eastAsia" w:ascii="仿宋_GB2312" w:hAnsi="仿宋_GB2312" w:eastAsia="仿宋_GB2312" w:cs="仿宋_GB2312"/>
          <w:sz w:val="32"/>
          <w:szCs w:val="32"/>
        </w:rPr>
        <w:t>。其中：</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公务用车购置支出</w:t>
      </w:r>
      <w:r>
        <w:rPr>
          <w:rFonts w:hint="eastAsia" w:ascii="仿宋_GB2312" w:hAnsi="仿宋_GB2312" w:eastAsia="仿宋_GB2312" w:cs="仿宋_GB2312"/>
          <w:sz w:val="32"/>
          <w:szCs w:val="32"/>
        </w:rPr>
        <w:t>为0.00万元，购置车辆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公务用车运行支出</w:t>
      </w:r>
      <w:r>
        <w:rPr>
          <w:rFonts w:hint="eastAsia" w:ascii="仿宋_GB2312" w:hAnsi="仿宋_GB2312" w:eastAsia="仿宋_GB2312" w:cs="仿宋_GB2312"/>
          <w:sz w:val="32"/>
          <w:szCs w:val="32"/>
        </w:rPr>
        <w:t>5.28万元。主要用于</w:t>
      </w:r>
      <w:r>
        <w:rPr>
          <w:rFonts w:hint="eastAsia" w:ascii="仿宋_GB2312" w:hAnsi="仿宋_GB2312" w:eastAsia="仿宋_GB2312" w:cs="仿宋_GB2312"/>
          <w:sz w:val="32"/>
          <w:szCs w:val="32"/>
          <w:lang w:eastAsia="zh-CN"/>
        </w:rPr>
        <w:t>燃料费、车辆保险、车辆维修、过桥过路费</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年期末，部门开支财政拨款的公务用车保有量为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辆。</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3.公务接待费</w:t>
      </w:r>
      <w:r>
        <w:rPr>
          <w:rFonts w:hint="eastAsia" w:ascii="仿宋_GB2312" w:hAnsi="仿宋_GB2312" w:eastAsia="仿宋_GB2312" w:cs="仿宋_GB2312"/>
          <w:sz w:val="32"/>
          <w:szCs w:val="32"/>
        </w:rPr>
        <w:t>预算为1.00万元，支出决算为0.20万元，完成预算的19.84%。决算数与预算数存在差异的主要原因是</w:t>
      </w:r>
      <w:r>
        <w:rPr>
          <w:rFonts w:hint="eastAsia" w:ascii="仿宋_GB2312" w:hAnsi="仿宋_GB2312" w:eastAsia="仿宋_GB2312" w:cs="仿宋_GB2312"/>
          <w:sz w:val="32"/>
          <w:szCs w:val="32"/>
          <w:lang w:val="en-US" w:eastAsia="zh-CN"/>
        </w:rPr>
        <w:t>2020年疫情公务活动减少</w:t>
      </w:r>
      <w:r>
        <w:rPr>
          <w:rFonts w:hint="eastAsia" w:ascii="仿宋_GB2312" w:hAnsi="仿宋_GB2312" w:eastAsia="仿宋_GB2312" w:cs="仿宋_GB2312"/>
          <w:sz w:val="32"/>
          <w:szCs w:val="32"/>
        </w:rPr>
        <w:t>。其中：</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外宾接待支出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万元。主要用于……。20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年共接待国（境）外来访团组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个、来访外宾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人次（不包括陪同人员）。来访人员主要包括：××，××等。</w:t>
      </w:r>
    </w:p>
    <w:p>
      <w:pPr>
        <w:widowControl/>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其他国内公务接待支出</w:t>
      </w:r>
      <w:r>
        <w:rPr>
          <w:rFonts w:hint="eastAsia" w:ascii="仿宋_GB2312" w:hAnsi="仿宋_GB2312" w:eastAsia="仿宋_GB2312" w:cs="仿宋_GB2312"/>
          <w:sz w:val="32"/>
          <w:szCs w:val="32"/>
          <w:lang w:val="en-US" w:eastAsia="zh-CN"/>
        </w:rPr>
        <w:t>0.2</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eastAsia="zh-CN"/>
        </w:rPr>
        <w:t>接待外来人员视察</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年共接待国内来访团组</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人次（不包括陪同人员）。</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八、预算绩效情况说明</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（一）绩效管理工作开展情况。</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2020年，我部门（单位）纳入预算绩效管理的支出总额为748.3万元，其中人员经费支出355.16万元，公用经费支出5.8万元；支出项目共4个，支出金额387.34万元。其中，进行项目绩效自评4个，自评金额387.34万元；纳入重点绩效评价（部门评价或财政评价）0个，评价金额0万元。</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（二）项目绩效自评结果。</w:t>
      </w:r>
    </w:p>
    <w:p>
      <w:pPr>
        <w:widowControl/>
        <w:numPr>
          <w:ilvl w:val="0"/>
          <w:numId w:val="0"/>
        </w:numPr>
        <w:spacing w:line="59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投入符合国家政策，资金投入合理，政策执行有力，资金使用规范、透明，符合国家财经法规和财务管理制度以及专项资金管理办法规定。项目管理有效，产出高效，达到了预期目标。项目绩效评价为“良好”。</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（三）重点绩效评价结果。</w:t>
      </w:r>
    </w:p>
    <w:p>
      <w:pPr>
        <w:keepNext w:val="0"/>
        <w:keepLines w:val="0"/>
        <w:pageBreakBefore w:val="0"/>
        <w:widowControl/>
        <w:numPr>
          <w:ilvl w:val="0"/>
          <w:numId w:val="0"/>
        </w:numPr>
        <w:kinsoku/>
        <w:wordWrap/>
        <w:overflowPunct/>
        <w:topLinePunct w:val="0"/>
        <w:autoSpaceDE/>
        <w:autoSpaceDN/>
        <w:bidi w:val="0"/>
        <w:adjustRightInd/>
        <w:snapToGrid/>
        <w:spacing w:line="590" w:lineRule="exact"/>
        <w:ind w:leftChars="200" w:right="0" w:rightChars="0" w:firstLine="320" w:firstLineChars="100"/>
        <w:jc w:val="both"/>
        <w:textAlignment w:val="auto"/>
        <w:outlineLvl w:val="9"/>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2020年本单位无重点绩效项目。</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九、政府性基金预算财政拨款支出决算情况说明</w:t>
      </w:r>
    </w:p>
    <w:p>
      <w:pPr>
        <w:widowControl/>
        <w:spacing w:line="59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2020年度政府性基金预算财政拨款支出年初预算为</w:t>
      </w:r>
      <w:r>
        <w:rPr>
          <w:rFonts w:hint="eastAsia" w:ascii="仿宋_GB2312" w:hAnsi="宋体" w:eastAsia="仿宋_GB2312" w:cs="宋体"/>
          <w:sz w:val="32"/>
          <w:szCs w:val="32"/>
          <w:lang w:val="en-US" w:eastAsia="zh-CN"/>
        </w:rPr>
        <w:t>0.00</w:t>
      </w:r>
      <w:r>
        <w:rPr>
          <w:rFonts w:hint="eastAsia" w:ascii="仿宋_GB2312" w:hAnsi="宋体" w:eastAsia="仿宋_GB2312" w:cs="宋体"/>
          <w:sz w:val="32"/>
          <w:szCs w:val="32"/>
        </w:rPr>
        <w:t>元，支出决算为</w:t>
      </w:r>
      <w:r>
        <w:rPr>
          <w:rFonts w:hint="eastAsia" w:ascii="仿宋_GB2312" w:hAnsi="宋体" w:eastAsia="仿宋_GB2312" w:cs="宋体"/>
          <w:sz w:val="32"/>
          <w:szCs w:val="32"/>
          <w:lang w:val="en-US" w:eastAsia="zh-CN"/>
        </w:rPr>
        <w:t>0.00</w:t>
      </w:r>
      <w:r>
        <w:rPr>
          <w:rFonts w:hint="eastAsia" w:ascii="仿宋_GB2312" w:hAnsi="宋体" w:eastAsia="仿宋_GB2312" w:cs="宋体"/>
          <w:sz w:val="32"/>
          <w:szCs w:val="32"/>
        </w:rPr>
        <w:t>万元，完成年初预算的</w:t>
      </w:r>
      <w:r>
        <w:rPr>
          <w:rFonts w:hint="eastAsia" w:ascii="仿宋_GB2312" w:hAnsi="宋体" w:eastAsia="仿宋_GB2312" w:cs="宋体"/>
          <w:sz w:val="32"/>
          <w:szCs w:val="32"/>
          <w:lang w:val="en-US" w:eastAsia="zh-CN"/>
        </w:rPr>
        <w:t>0.00</w:t>
      </w:r>
      <w:r>
        <w:rPr>
          <w:rFonts w:hint="eastAsia" w:ascii="仿宋_GB2312" w:hAnsi="宋体" w:eastAsia="仿宋_GB2312" w:cs="宋体"/>
          <w:sz w:val="32"/>
          <w:szCs w:val="32"/>
        </w:rPr>
        <w:t>%。主要用于……，其中××等项目年末结转和结余资金数额较大，主要原因：……。</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宋体" w:eastAsia="仿宋_GB2312" w:cs="宋体"/>
          <w:sz w:val="32"/>
          <w:szCs w:val="32"/>
        </w:rPr>
        <w:t>我部门20</w:t>
      </w:r>
      <w:r>
        <w:rPr>
          <w:rFonts w:hint="eastAsia" w:ascii="仿宋_GB2312" w:hAnsi="宋体" w:eastAsia="仿宋_GB2312" w:cs="宋体"/>
          <w:sz w:val="32"/>
          <w:szCs w:val="32"/>
          <w:lang w:val="en-US" w:eastAsia="zh-CN"/>
        </w:rPr>
        <w:t>20</w:t>
      </w:r>
      <w:r>
        <w:rPr>
          <w:rFonts w:hint="eastAsia" w:ascii="仿宋_GB2312" w:hAnsi="宋体" w:eastAsia="仿宋_GB2312" w:cs="宋体"/>
          <w:sz w:val="32"/>
          <w:szCs w:val="32"/>
        </w:rPr>
        <w:t>年度没有政府性基金收入，也没有使用政府性基金安排的支出。</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十、机关运行经费支出情况说明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年度机关运行经费</w:t>
      </w:r>
      <w:r>
        <w:rPr>
          <w:rFonts w:hint="eastAsia" w:ascii="仿宋_GB2312" w:hAnsi="仿宋_GB2312" w:eastAsia="仿宋_GB2312" w:cs="仿宋_GB2312"/>
          <w:sz w:val="32"/>
          <w:szCs w:val="32"/>
          <w:u w:val="none"/>
        </w:rPr>
        <w:t>年</w:t>
      </w:r>
      <w:r>
        <w:rPr>
          <w:rFonts w:hint="eastAsia" w:ascii="仿宋_GB2312" w:hAnsi="仿宋_GB2312" w:eastAsia="仿宋_GB2312" w:cs="仿宋_GB2312"/>
          <w:sz w:val="32"/>
          <w:szCs w:val="32"/>
        </w:rPr>
        <w:t>初预算为</w:t>
      </w:r>
      <w:r>
        <w:rPr>
          <w:rFonts w:hint="eastAsia" w:ascii="仿宋_GB2312" w:hAnsi="仿宋_GB2312" w:eastAsia="仿宋_GB2312" w:cs="仿宋_GB2312"/>
          <w:sz w:val="32"/>
          <w:szCs w:val="32"/>
          <w:lang w:val="en-US" w:eastAsia="zh-CN"/>
        </w:rPr>
        <w:t>13.02</w:t>
      </w:r>
      <w:r>
        <w:rPr>
          <w:rFonts w:hint="eastAsia" w:ascii="仿宋_GB2312" w:hAnsi="仿宋_GB2312" w:eastAsia="仿宋_GB2312" w:cs="仿宋_GB2312"/>
          <w:sz w:val="32"/>
          <w:szCs w:val="32"/>
        </w:rPr>
        <w:t>万元，支出决算为5.80万元，完成年初预算的</w:t>
      </w:r>
      <w:r>
        <w:rPr>
          <w:rFonts w:hint="eastAsia" w:ascii="仿宋_GB2312" w:hAnsi="仿宋_GB2312" w:eastAsia="仿宋_GB2312" w:cs="仿宋_GB2312"/>
          <w:sz w:val="32"/>
          <w:szCs w:val="32"/>
          <w:lang w:val="en-US" w:eastAsia="zh-CN"/>
        </w:rPr>
        <w:t>44.55</w:t>
      </w:r>
      <w:r>
        <w:rPr>
          <w:rFonts w:hint="eastAsia" w:ascii="仿宋_GB2312" w:hAnsi="仿宋_GB2312" w:eastAsia="仿宋_GB2312" w:cs="仿宋_GB2312"/>
          <w:sz w:val="32"/>
          <w:szCs w:val="32"/>
        </w:rPr>
        <w:t>%。决算数与年初预算数存在差异的主要原因是</w:t>
      </w:r>
      <w:r>
        <w:rPr>
          <w:rFonts w:hint="eastAsia" w:ascii="仿宋_GB2312" w:hAnsi="仿宋_GB2312" w:eastAsia="仿宋_GB2312" w:cs="仿宋_GB2312"/>
          <w:sz w:val="32"/>
          <w:szCs w:val="32"/>
          <w:lang w:eastAsia="zh-CN"/>
        </w:rPr>
        <w:t>部分款项于下年度进行支出</w:t>
      </w:r>
      <w:r>
        <w:rPr>
          <w:rFonts w:hint="eastAsia" w:ascii="仿宋_GB2312" w:hAnsi="仿宋_GB2312" w:eastAsia="仿宋_GB2312" w:cs="仿宋_GB2312"/>
          <w:sz w:val="32"/>
          <w:szCs w:val="32"/>
        </w:rPr>
        <w:t>。</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2020年度机关运行经费支出</w:t>
      </w:r>
      <w:r>
        <w:rPr>
          <w:rFonts w:hint="eastAsia" w:ascii="仿宋_GB2312" w:hAnsi="仿宋_GB2312" w:eastAsia="仿宋_GB2312" w:cs="仿宋_GB2312"/>
          <w:sz w:val="32"/>
          <w:szCs w:val="32"/>
          <w:lang w:val="en-US" w:eastAsia="zh-CN"/>
        </w:rPr>
        <w:t>13.02</w:t>
      </w:r>
      <w:r>
        <w:rPr>
          <w:rFonts w:hint="eastAsia" w:ascii="仿宋_GB2312" w:hAnsi="仿宋_GB2312" w:eastAsia="仿宋_GB2312" w:cs="仿宋_GB2312"/>
          <w:sz w:val="32"/>
          <w:szCs w:val="32"/>
        </w:rPr>
        <w:t>万元，较上年度减少</w:t>
      </w:r>
      <w:r>
        <w:rPr>
          <w:rFonts w:hint="eastAsia" w:ascii="仿宋_GB2312" w:hAnsi="仿宋_GB2312" w:eastAsia="仿宋_GB2312" w:cs="仿宋_GB2312"/>
          <w:sz w:val="32"/>
          <w:szCs w:val="32"/>
          <w:lang w:val="en-US" w:eastAsia="zh-CN"/>
        </w:rPr>
        <w:t>7.22</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44.55</w:t>
      </w:r>
      <w:r>
        <w:rPr>
          <w:rFonts w:hint="eastAsia" w:ascii="仿宋_GB2312" w:hAnsi="仿宋_GB2312" w:eastAsia="仿宋_GB2312" w:cs="仿宋_GB2312"/>
          <w:sz w:val="32"/>
          <w:szCs w:val="32"/>
        </w:rPr>
        <w:t>%。减少的主要原因是</w:t>
      </w:r>
      <w:r>
        <w:rPr>
          <w:rFonts w:hint="eastAsia" w:ascii="仿宋_GB2312" w:hAnsi="仿宋_GB2312" w:eastAsia="仿宋_GB2312" w:cs="仿宋_GB2312"/>
          <w:sz w:val="32"/>
          <w:szCs w:val="32"/>
          <w:lang w:eastAsia="zh-CN"/>
        </w:rPr>
        <w:t>部分款项于下年度进行支出</w:t>
      </w:r>
      <w:r>
        <w:rPr>
          <w:rFonts w:hint="eastAsia" w:ascii="仿宋_GB2312" w:hAnsi="仿宋_GB2312" w:eastAsia="仿宋_GB2312" w:cs="仿宋_GB2312"/>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十一、政府采购支出情况说明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年度政府采购支出总额</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万元。授予中小企业合同金额</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pPr>
        <w:widowControl/>
        <w:spacing w:line="59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我单位</w:t>
      </w:r>
      <w:r>
        <w:rPr>
          <w:rFonts w:hint="eastAsia" w:ascii="仿宋_GB2312" w:hAnsi="仿宋_GB2312" w:eastAsia="仿宋_GB2312" w:cs="仿宋_GB2312"/>
          <w:sz w:val="32"/>
          <w:szCs w:val="32"/>
          <w:lang w:val="en-US" w:eastAsia="zh-CN"/>
        </w:rPr>
        <w:t>2020年未安排政府采购。</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十二、国有资产占用情况说明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年期末，我部门共有车辆3辆，其中：特种专业技术用车1辆、其他用车2辆；单位价值50万元以上通用设备0台（套），单位价值100万元以上专用设备0台（套）。</w:t>
      </w:r>
    </w:p>
    <w:p>
      <w:pPr>
        <w:widowControl/>
        <w:jc w:val="left"/>
        <w:rPr>
          <w:rFonts w:hint="eastAsia" w:ascii="楷体_GB2312" w:hAnsi="楷体_GB2312" w:eastAsia="楷体_GB2312" w:cs="楷体_GB2312"/>
          <w:sz w:val="32"/>
          <w:szCs w:val="32"/>
        </w:rPr>
        <w:sectPr>
          <w:pgSz w:w="11906" w:h="16838"/>
          <w:pgMar w:top="1440" w:right="1800" w:bottom="1440" w:left="1800" w:header="720" w:footer="720" w:gutter="0"/>
          <w:pgNumType w:fmt="numberInDash"/>
          <w:cols w:space="720" w:num="1"/>
          <w:docGrid w:type="lines" w:linePitch="312" w:charSpace="0"/>
        </w:sect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第四部分  名词解释</w:t>
      </w:r>
    </w:p>
    <w:p>
      <w:pPr>
        <w:jc w:val="center"/>
        <w:rPr>
          <w:rFonts w:hint="eastAsia" w:ascii="黑体" w:hAnsi="黑体" w:eastAsia="黑体" w:cs="黑体"/>
          <w:sz w:val="48"/>
          <w:szCs w:val="48"/>
        </w:rPr>
      </w:pPr>
    </w:p>
    <w:p>
      <w:pPr>
        <w:jc w:val="center"/>
        <w:outlineLvl w:val="0"/>
        <w:rPr>
          <w:rFonts w:hint="eastAsia" w:ascii="黑体" w:hAnsi="黑体" w:eastAsia="黑体" w:cs="黑体"/>
          <w:sz w:val="48"/>
          <w:szCs w:val="48"/>
        </w:rPr>
        <w:sectPr>
          <w:pgSz w:w="11906" w:h="16838"/>
          <w:pgMar w:top="1440" w:right="1531" w:bottom="1440" w:left="1587" w:header="850" w:footer="992" w:gutter="0"/>
          <w:pgNumType w:fmt="numberInDash"/>
          <w:cols w:space="720" w:num="1"/>
          <w:docGrid w:type="lines" w:linePitch="317" w:charSpace="0"/>
        </w:sectPr>
      </w:pP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一、财政拨款收入：单位从同级政府财政部门取得的财政预算资金。</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二、事业收入：事业单位开展专业业务活动及其辅助活动取得的收入。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三、上级补助收入：事业单位从主管部门和上级单位取得的非财政补助收入。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四、附属单位上缴收入：事业单位取得附属独立核算单位根据有关规定上缴的收入。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五、经营收入：事业单位在专业业务活动及其辅助活动之外开展非独立核算经营活动取得的收入。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六、其他收入：单位取得的除“财政拨款收入”、“事业收入”、“上级补助收入”、“附属单位上缴收入”、“经营收入”以外的各项收入。</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用事业基金弥补收支差额：事业单位在当年收入不足以安排当年支出的情况下，使用以前年度积累的事业基金（事业单位当年收支相抵后按国家规定提取、用于弥补以后年度收支差额的基金）弥补当年收支缺口的资金。</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八、基本支出：为保障机构正常运转、完成日常工作任务而发生的人员支出和公用支出。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九、项目支出：基本支出之外为完成特定行政任务和事业发展目标所发生的支出。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公”经费：纳入同级财政预决算管理“三公”经费，指部门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十二、工资福利支出：单位支付给在职职工和编制外长期聘用人员的各类劳动报酬，以及为上述人员缴纳的各项社会保险费等。</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十三、商品和服务支出：单位购买商品和服务的支出。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十四、对个人和家庭的补助支出：单位用于对个人和家庭的补助支出。</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十五、年末结转：本年度或以前年度预算安排，已执行但尚未完成或因客观条件发生变化无法按原计划实施，需延迟到以后年度按有关规定继续使用的资金。</w:t>
      </w:r>
    </w:p>
    <w:p>
      <w:pPr>
        <w:widowControl/>
        <w:spacing w:line="59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十六、年末结余：本年度或以前年度预算安排，已执行完毕或因客观条件发生变化无法按原预算安排实施，不需要再使用或无法按原预算安排继续使用的资金</w:t>
      </w:r>
    </w:p>
    <w:p/>
    <w:sectPr>
      <w:pgSz w:w="11906" w:h="16838"/>
      <w:pgMar w:top="1928" w:right="1474" w:bottom="1701"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0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- 21 -</w:t>
                          </w:r>
                          <w:r>
                            <w:rPr>
                              <w:rFonts w:hint="eastAsia"/>
                              <w:sz w:val="18"/>
                            </w:rPr>
                            <w:fldChar w:fldCharType="end"/>
                          </w:r>
                        </w:p>
                      </w:txbxContent>
                    </wps:txbx>
                    <wps:bodyPr vert="horz" wrap="none" lIns="0" tIns="0" rIns="0" bIns="0" anchor="t" upright="0">
                      <a:spAutoFit/>
                    </wps:bodyPr>
                  </wps:wsp>
                </a:graphicData>
              </a:graphic>
            </wp:anchor>
          </w:drawing>
        </mc:Choice>
        <mc:Fallback>
          <w:pict>
            <v:shape id="文本框 205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6pebnPAAAABQEA&#10;AA8AAAAAAAAAAQAgAAAAIgAAAGRycy9kb3ducmV2LnhtbFBLAQIUABQAAAAIAIdO4kA/0GMc6gEA&#10;AMoDAAAOAAAAAAAAAAEAIAAAAB4BAABkcnMvZTJvRG9jLnhtbFBLBQYAAAAABgAGAFkBAAB6BQAA&#10;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- 21 -</w:t>
                    </w:r>
                    <w:r>
                      <w:rPr>
                        <w:rFonts w:hint="eastAsia"/>
                        <w:sz w:val="1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rPr>
                              <w:rFonts w:hint="eastAsia"/>
                            </w:rPr>
                          </w:pPr>
                        </w:p>
                      </w:txbxContent>
                    </wps:txbx>
                    <wps:bodyPr vert="horz" wrap="none" lIns="0" tIns="0" rIns="0" bIns="0" anchor="t"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ql5uc8AAAAFAQAA&#10;DwAAAAAAAAABACAAAAAiAAAAZHJzL2Rvd25yZXYueG1sUEsBAhQAFAAAAAgAh07iQJULmGzpAQAA&#10;ygMAAA4AAAAAAAAAAQAgAAAAHgEAAGRycy9lMm9Eb2MueG1sUEsFBgAAAAAGAAYAWQEAAHkFAAAA&#10;AA==&#10;">
              <v:fill on="f" focussize="0,0"/>
              <v:stroke on="f"/>
              <v:imagedata o:title=""/>
              <o:lock v:ext="edit" aspectratio="f"/>
              <v:textbox inset="0mm,0mm,0mm,0mm" style="mso-fit-shape-to-text:t;">
                <w:txbxContent>
                  <w:p>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0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- 22 -</w:t>
                          </w:r>
                          <w:r>
                            <w:rPr>
                              <w:rFonts w:hint="eastAsia"/>
                              <w:sz w:val="18"/>
                            </w:rPr>
                            <w:fldChar w:fldCharType="end"/>
                          </w:r>
                        </w:p>
                      </w:txbxContent>
                    </wps:txbx>
                    <wps:bodyPr vert="horz" wrap="none" lIns="0" tIns="0" rIns="0" bIns="0" anchor="t" upright="0">
                      <a:spAutoFit/>
                    </wps:bodyPr>
                  </wps:wsp>
                </a:graphicData>
              </a:graphic>
            </wp:anchor>
          </w:drawing>
        </mc:Choice>
        <mc:Fallback>
          <w:pict>
            <v:shape id="文本框 205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ql5uc8AAAAFAQAA&#10;DwAAAAAAAAABACAAAAAiAAAAZHJzL2Rvd25yZXYueG1sUEsBAhQAFAAAAAgAh07iQCFQ/w7pAQAA&#10;ygMAAA4AAAAAAAAAAQAgAAAAHgEAAGRycy9lMm9Eb2MueG1sUEsFBgAAAAAGAAYAWQEAAHkFAAAA&#10;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- 22 -</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017DB"/>
    <w:multiLevelType w:val="singleLevel"/>
    <w:tmpl w:val="FE5017DB"/>
    <w:lvl w:ilvl="0" w:tentative="0">
      <w:start w:val="2"/>
      <w:numFmt w:val="chineseCounting"/>
      <w:suff w:val="nothing"/>
      <w:lvlText w:val="（%1）"/>
      <w:lvlJc w:val="left"/>
      <w:rPr>
        <w:rFonts w:hint="eastAsia"/>
      </w:rPr>
    </w:lvl>
  </w:abstractNum>
  <w:abstractNum w:abstractNumId="1">
    <w:nsid w:val="5971BE17"/>
    <w:multiLevelType w:val="singleLevel"/>
    <w:tmpl w:val="5971BE17"/>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8A502B"/>
    <w:rsid w:val="096324E3"/>
    <w:rsid w:val="0DB36AB8"/>
    <w:rsid w:val="1506170C"/>
    <w:rsid w:val="16437091"/>
    <w:rsid w:val="21491751"/>
    <w:rsid w:val="21575BC1"/>
    <w:rsid w:val="21DC286A"/>
    <w:rsid w:val="240E06F2"/>
    <w:rsid w:val="2B06028F"/>
    <w:rsid w:val="2C250F60"/>
    <w:rsid w:val="2D5347F6"/>
    <w:rsid w:val="34BB2AED"/>
    <w:rsid w:val="3E4C25CA"/>
    <w:rsid w:val="4701142B"/>
    <w:rsid w:val="47866D7F"/>
    <w:rsid w:val="497A2108"/>
    <w:rsid w:val="4C464F58"/>
    <w:rsid w:val="4EFC09E4"/>
    <w:rsid w:val="587F2E51"/>
    <w:rsid w:val="73630F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annotation reference"/>
    <w:basedOn w:val="5"/>
    <w:qFormat/>
    <w:uiPriority w:val="0"/>
    <w:rPr>
      <w:sz w:val="21"/>
      <w:szCs w:val="21"/>
    </w:rPr>
  </w:style>
  <w:style w:type="character" w:customStyle="1" w:styleId="7">
    <w:name w:val="font11"/>
    <w:basedOn w:val="5"/>
    <w:qFormat/>
    <w:uiPriority w:val="0"/>
    <w:rPr>
      <w:rFonts w:hint="eastAsia" w:ascii="宋体" w:hAnsi="宋体" w:eastAsia="宋体" w:cs="宋体"/>
      <w:color w:val="000000"/>
      <w:sz w:val="20"/>
      <w:szCs w:val="20"/>
      <w:u w:val="none"/>
    </w:rPr>
  </w:style>
  <w:style w:type="character" w:customStyle="1" w:styleId="8">
    <w:name w:val="font01"/>
    <w:basedOn w:val="5"/>
    <w:qFormat/>
    <w:uiPriority w:val="0"/>
    <w:rPr>
      <w:rFonts w:hint="eastAsia" w:ascii="宋体" w:hAnsi="宋体" w:eastAsia="宋体" w:cs="宋体"/>
      <w:color w:val="000000"/>
      <w:sz w:val="22"/>
      <w:szCs w:val="22"/>
      <w:u w:val="none"/>
    </w:rPr>
  </w:style>
  <w:style w:type="character" w:customStyle="1" w:styleId="9">
    <w:name w:val="font51"/>
    <w:basedOn w:val="5"/>
    <w:qFormat/>
    <w:uiPriority w:val="0"/>
    <w:rPr>
      <w:rFonts w:hint="eastAsia" w:ascii="宋体" w:hAnsi="宋体" w:eastAsia="宋体" w:cs="宋体"/>
      <w:color w:val="000000"/>
      <w:sz w:val="24"/>
      <w:szCs w:val="24"/>
      <w:u w:val="none"/>
    </w:rPr>
  </w:style>
  <w:style w:type="character" w:customStyle="1" w:styleId="10">
    <w:name w:val="font4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想想想想</cp:lastModifiedBy>
  <cp:lastPrinted>2021-09-23T02:56:00Z</cp:lastPrinted>
  <dcterms:modified xsi:type="dcterms:W3CDTF">2021-09-26T09:17:12Z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4F95B20DE7DE47D9A8533B207017CC8A</vt:lpwstr>
  </property>
</Properties>
</file>